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306F" w:rsidRPr="00A6546A" w:rsidRDefault="003E306F" w:rsidP="003E306F">
      <w:pPr>
        <w:ind w:left="1800" w:hanging="1800"/>
        <w:rPr>
          <w:b/>
          <w:sz w:val="24"/>
          <w:szCs w:val="24"/>
        </w:rPr>
      </w:pPr>
      <w:r w:rsidRPr="00A6546A">
        <w:rPr>
          <w:b/>
          <w:sz w:val="24"/>
          <w:szCs w:val="24"/>
        </w:rPr>
        <w:t>3GPP TSG RAN WG1 #98</w:t>
      </w:r>
      <w:r w:rsidRPr="00A6546A">
        <w:rPr>
          <w:b/>
          <w:sz w:val="24"/>
          <w:szCs w:val="24"/>
        </w:rPr>
        <w:tab/>
      </w:r>
      <w:r w:rsidRPr="00A6546A">
        <w:rPr>
          <w:b/>
          <w:sz w:val="24"/>
          <w:szCs w:val="24"/>
        </w:rPr>
        <w:tab/>
      </w:r>
      <w:r w:rsidRPr="00A6546A">
        <w:rPr>
          <w:b/>
          <w:sz w:val="24"/>
          <w:szCs w:val="24"/>
        </w:rPr>
        <w:tab/>
      </w:r>
      <w:r>
        <w:rPr>
          <w:b/>
          <w:sz w:val="24"/>
          <w:szCs w:val="24"/>
        </w:rPr>
        <w:t xml:space="preserve">                                                                  </w:t>
      </w:r>
      <w:r w:rsidRPr="00A6546A">
        <w:rPr>
          <w:b/>
          <w:sz w:val="24"/>
          <w:szCs w:val="24"/>
        </w:rPr>
        <w:t>R1-19</w:t>
      </w:r>
      <w:r>
        <w:rPr>
          <w:b/>
          <w:sz w:val="24"/>
          <w:szCs w:val="24"/>
        </w:rPr>
        <w:t>09068</w:t>
      </w:r>
    </w:p>
    <w:p w:rsidR="003E306F" w:rsidRDefault="003E306F" w:rsidP="003E306F">
      <w:pPr>
        <w:ind w:left="1800" w:hanging="1800"/>
        <w:rPr>
          <w:b/>
          <w:sz w:val="24"/>
          <w:szCs w:val="24"/>
        </w:rPr>
      </w:pPr>
      <w:r w:rsidRPr="00A6546A">
        <w:rPr>
          <w:b/>
          <w:sz w:val="24"/>
          <w:szCs w:val="24"/>
        </w:rPr>
        <w:t>Prague, CZ, August 26th – 30th, 2019</w:t>
      </w: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8F0D8C">
        <w:rPr>
          <w:b/>
          <w:sz w:val="24"/>
          <w:szCs w:val="24"/>
        </w:rPr>
        <w:t>.</w:t>
      </w:r>
      <w:r w:rsidR="008810D4">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212204">
        <w:rPr>
          <w:sz w:val="24"/>
          <w:szCs w:val="24"/>
        </w:rPr>
        <w:tab/>
      </w:r>
      <w:r w:rsidR="008F0D8C" w:rsidRPr="008F0D8C">
        <w:rPr>
          <w:b/>
          <w:sz w:val="24"/>
          <w:szCs w:val="24"/>
        </w:rPr>
        <w:t>Mechanisms for supporting access and backhaul link multiplexing</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3E2741" w:rsidRDefault="003E2741" w:rsidP="003E2741">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3E2741" w:rsidRDefault="003E2741" w:rsidP="003E2741">
      <w:pPr>
        <w:numPr>
          <w:ilvl w:val="0"/>
          <w:numId w:val="19"/>
        </w:numPr>
        <w:spacing w:beforeLines="60" w:before="144" w:afterLines="60" w:after="144" w:line="256" w:lineRule="auto"/>
        <w:jc w:val="left"/>
        <w:rPr>
          <w:rFonts w:asciiTheme="minorHAnsi" w:hAnsiTheme="minorHAnsi"/>
        </w:rPr>
      </w:pPr>
      <w:r>
        <w:t xml:space="preserve">Specification of mechanisms for resource multiplexing among backhaul and access links. This includes: </w:t>
      </w:r>
    </w:p>
    <w:p w:rsidR="003E2741" w:rsidRDefault="003E2741" w:rsidP="003E2741">
      <w:pPr>
        <w:numPr>
          <w:ilvl w:val="1"/>
          <w:numId w:val="19"/>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3E2741" w:rsidRDefault="003E2741" w:rsidP="003E2741">
      <w:pPr>
        <w:pStyle w:val="ListParagraph"/>
        <w:numPr>
          <w:ilvl w:val="1"/>
          <w:numId w:val="19"/>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rsidR="003E2741" w:rsidRDefault="003E2741" w:rsidP="003E2741">
      <w:pPr>
        <w:numPr>
          <w:ilvl w:val="1"/>
          <w:numId w:val="19"/>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rsidR="003E2741" w:rsidRDefault="003E2741" w:rsidP="003E2741">
      <w:pPr>
        <w:pStyle w:val="ListParagraph"/>
        <w:numPr>
          <w:ilvl w:val="1"/>
          <w:numId w:val="19"/>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rsidR="003E2741" w:rsidRPr="00C724F1" w:rsidRDefault="003E2741" w:rsidP="003E2741">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the multiplexing of access and backhaul links</w:t>
      </w:r>
      <w:r w:rsidRPr="00C724F1">
        <w:rPr>
          <w:rFonts w:ascii="Calibri" w:hAnsi="Calibri"/>
        </w:rPr>
        <w:t>.</w:t>
      </w:r>
    </w:p>
    <w:p w:rsidR="00346605" w:rsidRPr="00172743" w:rsidRDefault="00FE4A8C" w:rsidP="00326FF6">
      <w:pPr>
        <w:pStyle w:val="Heading1"/>
      </w:pPr>
      <w:r>
        <w:t>Frame Structure Design for Access and Backhaul Multiplexing</w:t>
      </w:r>
    </w:p>
    <w:p w:rsidR="00BB5132" w:rsidRDefault="00C724F1" w:rsidP="00BB513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sidR="00BB5132">
        <w:rPr>
          <w:rFonts w:ascii="Calibri" w:hAnsi="Calibri"/>
        </w:rPr>
        <w:t>Each IAB node</w:t>
      </w:r>
      <w:r w:rsidR="00BB5132" w:rsidRPr="00917D0F">
        <w:rPr>
          <w:rFonts w:ascii="Calibri" w:hAnsi="Calibri"/>
        </w:rPr>
        <w:t xml:space="preserve"> </w:t>
      </w:r>
      <w:r w:rsidR="00BB5132">
        <w:rPr>
          <w:rFonts w:ascii="Calibri" w:hAnsi="Calibri"/>
        </w:rPr>
        <w:t>has</w:t>
      </w:r>
      <w:r w:rsidR="00155BC2">
        <w:rPr>
          <w:rFonts w:ascii="Calibri" w:hAnsi="Calibri"/>
        </w:rPr>
        <w:t xml:space="preserve"> both DU functionality (IAB-DU</w:t>
      </w:r>
      <w:r w:rsidR="00B3707E">
        <w:rPr>
          <w:rFonts w:ascii="Calibri" w:hAnsi="Calibri"/>
        </w:rPr>
        <w:t xml:space="preserve">) </w:t>
      </w:r>
      <w:r w:rsidR="00BB5132" w:rsidRPr="00917D0F">
        <w:rPr>
          <w:rFonts w:ascii="Calibri" w:hAnsi="Calibri"/>
        </w:rPr>
        <w:t xml:space="preserve">as well as </w:t>
      </w:r>
      <w:r w:rsidR="00BB5132">
        <w:rPr>
          <w:rFonts w:ascii="Calibri" w:hAnsi="Calibri"/>
        </w:rPr>
        <w:t>UE</w:t>
      </w:r>
      <w:r w:rsidR="00155BC2">
        <w:rPr>
          <w:rFonts w:ascii="Calibri" w:hAnsi="Calibri"/>
        </w:rPr>
        <w:t>-like</w:t>
      </w:r>
      <w:r w:rsidR="00BB5132">
        <w:rPr>
          <w:rFonts w:ascii="Calibri" w:hAnsi="Calibri"/>
        </w:rPr>
        <w:t xml:space="preserve"> </w:t>
      </w:r>
      <w:r w:rsidR="00BB5132" w:rsidRPr="00917D0F">
        <w:rPr>
          <w:rFonts w:ascii="Calibri" w:hAnsi="Calibri"/>
        </w:rPr>
        <w:t>functionality</w:t>
      </w:r>
      <w:r w:rsidR="00B3707E">
        <w:rPr>
          <w:rFonts w:ascii="Calibri" w:hAnsi="Calibri"/>
        </w:rPr>
        <w:t xml:space="preserve"> (</w:t>
      </w:r>
      <w:r w:rsidR="00155BC2">
        <w:rPr>
          <w:rFonts w:ascii="Calibri" w:hAnsi="Calibri"/>
        </w:rPr>
        <w:t>IAB-MT</w:t>
      </w:r>
      <w:r w:rsidR="00B3707E">
        <w:rPr>
          <w:rFonts w:ascii="Calibri" w:hAnsi="Calibri"/>
        </w:rPr>
        <w:t>)</w:t>
      </w:r>
      <w:r w:rsidR="00BB5132" w:rsidRPr="00917D0F">
        <w:rPr>
          <w:rFonts w:ascii="Calibri" w:hAnsi="Calibri"/>
        </w:rPr>
        <w:t xml:space="preserve">. The relay </w:t>
      </w:r>
      <w:r w:rsidR="00BB5132">
        <w:rPr>
          <w:rFonts w:ascii="Calibri" w:hAnsi="Calibri"/>
        </w:rPr>
        <w:t>is connected to an IAB node</w:t>
      </w:r>
      <w:r w:rsidR="00BB5132" w:rsidRPr="00917D0F">
        <w:rPr>
          <w:rFonts w:ascii="Calibri" w:hAnsi="Calibri"/>
        </w:rPr>
        <w:t xml:space="preserve"> of a higher hop order</w:t>
      </w:r>
      <w:r w:rsidR="00BB5132">
        <w:rPr>
          <w:rFonts w:ascii="Calibri" w:hAnsi="Calibri"/>
        </w:rPr>
        <w:t xml:space="preserve"> </w:t>
      </w:r>
      <w:r w:rsidR="00155BC2">
        <w:rPr>
          <w:rFonts w:ascii="Calibri" w:hAnsi="Calibri"/>
        </w:rPr>
        <w:t xml:space="preserve">in a similar way </w:t>
      </w:r>
      <w:r w:rsidR="00BB5132">
        <w:rPr>
          <w:rFonts w:ascii="Calibri" w:hAnsi="Calibri"/>
        </w:rPr>
        <w:t xml:space="preserve">as a UE, while the IAB node </w:t>
      </w:r>
      <w:r w:rsidR="00BB5132" w:rsidRPr="00917D0F">
        <w:rPr>
          <w:rFonts w:ascii="Calibri" w:hAnsi="Calibri"/>
        </w:rPr>
        <w:t>serves relay UEs inside IAB nodes of lower hop orders or its own access UEs.</w:t>
      </w:r>
    </w:p>
    <w:p w:rsidR="00C724F1" w:rsidRDefault="00C724F1" w:rsidP="00EE2068">
      <w:pPr>
        <w:pStyle w:val="maintext"/>
        <w:ind w:firstLineChars="0" w:firstLine="0"/>
        <w:rPr>
          <w:rFonts w:ascii="Calibri" w:hAnsi="Calibri"/>
        </w:rPr>
      </w:pPr>
    </w:p>
    <w:p w:rsidR="00C724F1" w:rsidRPr="00EC51BC" w:rsidRDefault="00DE2A3F" w:rsidP="00C724F1">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extent cx="4629150" cy="17145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7267" cy="1717506"/>
                    </a:xfrm>
                    <a:prstGeom prst="rect">
                      <a:avLst/>
                    </a:prstGeom>
                    <a:noFill/>
                    <a:ln>
                      <a:noFill/>
                    </a:ln>
                  </pic:spPr>
                </pic:pic>
              </a:graphicData>
            </a:graphic>
          </wp:inline>
        </w:drawing>
      </w:r>
    </w:p>
    <w:p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rsidR="00FD791D" w:rsidRDefault="00BB5132" w:rsidP="00BB5132">
      <w:pPr>
        <w:pStyle w:val="maintext"/>
        <w:ind w:firstLineChars="0" w:firstLine="0"/>
        <w:rPr>
          <w:rFonts w:ascii="Calibri" w:hAnsi="Calibri"/>
        </w:rPr>
      </w:pPr>
      <w:r>
        <w:rPr>
          <w:rFonts w:ascii="Calibri" w:hAnsi="Calibri"/>
        </w:rPr>
        <w:lastRenderedPageBreak/>
        <w:t xml:space="preserve">In addition, for in-band operation </w:t>
      </w:r>
      <w:r w:rsidR="00FD791D">
        <w:rPr>
          <w:rFonts w:ascii="Calibri" w:hAnsi="Calibri"/>
        </w:rPr>
        <w:t>IAB</w:t>
      </w:r>
      <w:r w:rsidR="00FD791D"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rsidR="00FD791D" w:rsidRPr="0057145F" w:rsidRDefault="00FD791D" w:rsidP="0021262A">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rsidR="00FD791D" w:rsidRDefault="00FD791D" w:rsidP="0021262A">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rsidR="00FD791D" w:rsidRDefault="00FD791D" w:rsidP="00FD791D">
      <w:pPr>
        <w:pStyle w:val="maintext"/>
        <w:ind w:firstLineChars="0" w:firstLine="0"/>
        <w:rPr>
          <w:rFonts w:ascii="Calibri" w:hAnsi="Calibri"/>
        </w:rPr>
      </w:pPr>
    </w:p>
    <w:p w:rsidR="00FD791D" w:rsidRDefault="00DE2A3F" w:rsidP="00FD791D">
      <w:pPr>
        <w:pStyle w:val="maintext"/>
        <w:keepNext/>
        <w:ind w:firstLineChars="0" w:firstLine="0"/>
        <w:jc w:val="center"/>
      </w:pPr>
      <w:r>
        <w:rPr>
          <w:noProof/>
          <w:color w:val="1F497D"/>
          <w:lang w:val="en-US" w:eastAsia="en-US"/>
        </w:rPr>
        <w:drawing>
          <wp:inline distT="0" distB="0" distL="0" distR="0">
            <wp:extent cx="4400550" cy="2958184"/>
            <wp:effectExtent l="0" t="0" r="0" b="127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414446" cy="2967525"/>
                    </a:xfrm>
                    <a:prstGeom prst="rect">
                      <a:avLst/>
                    </a:prstGeom>
                    <a:noFill/>
                    <a:ln>
                      <a:noFill/>
                    </a:ln>
                  </pic:spPr>
                </pic:pic>
              </a:graphicData>
            </a:graphic>
          </wp:inline>
        </w:drawing>
      </w:r>
    </w:p>
    <w:p w:rsidR="00FD791D" w:rsidRDefault="00FD791D" w:rsidP="00FD791D">
      <w:pPr>
        <w:pStyle w:val="maintext"/>
        <w:ind w:firstLineChars="0" w:firstLine="0"/>
        <w:jc w:val="center"/>
        <w:rPr>
          <w:rFonts w:ascii="Calibri" w:hAnsi="Calibri"/>
          <w:b/>
        </w:rPr>
      </w:pPr>
    </w:p>
    <w:p w:rsidR="00FD791D"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BB5132">
        <w:rPr>
          <w:rFonts w:ascii="Calibri" w:hAnsi="Calibri"/>
          <w:b/>
          <w:bCs/>
          <w:sz w:val="22"/>
          <w:lang w:val="en-GB" w:eastAsia="zh-CN"/>
        </w:rPr>
        <w:t>2</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alf-duplex constraint at the relay</w:t>
      </w:r>
    </w:p>
    <w:p w:rsidR="00163AD0" w:rsidRPr="00222811" w:rsidRDefault="00163AD0" w:rsidP="00163AD0">
      <w:pPr>
        <w:pStyle w:val="maintext"/>
        <w:ind w:firstLineChars="0" w:firstLine="0"/>
        <w:rPr>
          <w:rFonts w:ascii="Calibri" w:eastAsia="Times New Roman" w:hAnsi="Calibri" w:cs="Times New Roman"/>
          <w:color w:val="000000"/>
          <w:lang w:eastAsia="zh-CN"/>
        </w:rPr>
      </w:pPr>
      <w:r>
        <w:rPr>
          <w:rFonts w:ascii="Calibri" w:hAnsi="Calibri"/>
        </w:rPr>
        <w:t xml:space="preserve">A key advantage of IAB is that </w:t>
      </w:r>
      <w:proofErr w:type="gramStart"/>
      <w:r>
        <w:rPr>
          <w:rFonts w:ascii="Calibri" w:hAnsi="Calibri"/>
        </w:rPr>
        <w:t>b</w:t>
      </w:r>
      <w:r w:rsidRPr="00E725D9">
        <w:rPr>
          <w:rFonts w:ascii="Calibri" w:hAnsi="Calibri"/>
        </w:rPr>
        <w:t>ackhaul</w:t>
      </w:r>
      <w:proofErr w:type="gramEnd"/>
      <w:r w:rsidRPr="00E725D9">
        <w:rPr>
          <w:rFonts w:ascii="Calibri" w:hAnsi="Calibri"/>
        </w:rPr>
        <w:t xml:space="preserve">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Pr="00222811">
        <w:rPr>
          <w:rFonts w:ascii="Calibri" w:eastAsia="Times New Roman" w:hAnsi="Calibri" w:cs="Times New Roman"/>
          <w:color w:val="000000"/>
          <w:lang w:eastAsia="zh-CN"/>
        </w:rPr>
        <w:t xml:space="preserve">Even though the IAB relay node consists of </w:t>
      </w:r>
      <w:r>
        <w:rPr>
          <w:rFonts w:ascii="Calibri" w:eastAsia="Times New Roman" w:hAnsi="Calibri" w:cs="Times New Roman"/>
          <w:color w:val="000000"/>
          <w:lang w:eastAsia="zh-CN"/>
        </w:rPr>
        <w:t>two</w:t>
      </w:r>
      <w:r w:rsidRPr="00222811">
        <w:rPr>
          <w:rFonts w:ascii="Calibri" w:eastAsia="Times New Roman" w:hAnsi="Calibri" w:cs="Times New Roman"/>
          <w:color w:val="000000"/>
          <w:lang w:eastAsia="zh-CN"/>
        </w:rPr>
        <w:t xml:space="preserve"> logical nodes each with its own</w:t>
      </w:r>
      <w:r>
        <w:rPr>
          <w:rFonts w:ascii="Calibri" w:eastAsia="Times New Roman" w:hAnsi="Calibri" w:cs="Times New Roman"/>
          <w:color w:val="000000"/>
          <w:lang w:eastAsia="zh-CN"/>
        </w:rPr>
        <w:t xml:space="preserve"> protocol</w:t>
      </w:r>
      <w:r w:rsidRPr="00222811">
        <w:rPr>
          <w:rFonts w:ascii="Calibri" w:eastAsia="Times New Roman" w:hAnsi="Calibri" w:cs="Times New Roman"/>
          <w:color w:val="000000"/>
          <w:lang w:eastAsia="zh-CN"/>
        </w:rPr>
        <w:t xml:space="preserve"> stack, the physical transceiver is shared between them. In other </w:t>
      </w:r>
      <w:proofErr w:type="gramStart"/>
      <w:r w:rsidRPr="00222811">
        <w:rPr>
          <w:rFonts w:ascii="Calibri" w:eastAsia="Times New Roman" w:hAnsi="Calibri" w:cs="Times New Roman"/>
          <w:color w:val="000000"/>
          <w:lang w:eastAsia="zh-CN"/>
        </w:rPr>
        <w:t>words</w:t>
      </w:r>
      <w:proofErr w:type="gramEnd"/>
      <w:r w:rsidRPr="00222811">
        <w:rPr>
          <w:rFonts w:ascii="Calibri" w:eastAsia="Times New Roman" w:hAnsi="Calibri" w:cs="Times New Roman"/>
          <w:color w:val="000000"/>
          <w:lang w:eastAsia="zh-CN"/>
        </w:rPr>
        <w:t xml:space="preserve"> the PHY of the </w:t>
      </w:r>
      <w:r>
        <w:rPr>
          <w:rFonts w:ascii="Calibri" w:eastAsia="Times New Roman" w:hAnsi="Calibri" w:cs="Times New Roman"/>
          <w:color w:val="000000"/>
          <w:lang w:eastAsia="zh-CN"/>
        </w:rPr>
        <w:t>MT</w:t>
      </w:r>
      <w:r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rsidR="00163AD0" w:rsidRPr="00222811" w:rsidRDefault="00163AD0" w:rsidP="00163AD0">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xml:space="preserve">: The access link and the backhaul link are time multiplexed with each other. This implies that </w:t>
      </w:r>
      <w:r>
        <w:rPr>
          <w:rFonts w:ascii="Calibri" w:eastAsia="Times New Roman" w:hAnsi="Calibri" w:cs="Times New Roman"/>
          <w:color w:val="000000"/>
          <w:lang w:eastAsia="zh-CN"/>
        </w:rPr>
        <w:t>IAB-MT</w:t>
      </w:r>
      <w:r w:rsidRPr="00222811">
        <w:rPr>
          <w:rFonts w:ascii="Calibri" w:eastAsia="Times New Roman" w:hAnsi="Calibri" w:cs="Times New Roman"/>
          <w:color w:val="000000"/>
          <w:lang w:eastAsia="zh-CN"/>
        </w:rPr>
        <w:t xml:space="preserve"> PHY and </w:t>
      </w:r>
      <w:r>
        <w:rPr>
          <w:rFonts w:ascii="Calibri" w:eastAsia="Times New Roman" w:hAnsi="Calibri" w:cs="Times New Roman"/>
          <w:color w:val="000000"/>
          <w:lang w:eastAsia="zh-CN"/>
        </w:rPr>
        <w:t>IAB-DU</w:t>
      </w:r>
      <w:r w:rsidRPr="00222811">
        <w:rPr>
          <w:rFonts w:ascii="Calibri" w:eastAsia="Times New Roman" w:hAnsi="Calibri" w:cs="Times New Roman"/>
          <w:color w:val="000000"/>
          <w:lang w:eastAsia="zh-CN"/>
        </w:rPr>
        <w:t xml:space="preserve"> PHY are not active simultaneously. </w:t>
      </w:r>
    </w:p>
    <w:p w:rsidR="00163AD0" w:rsidRPr="00222811" w:rsidRDefault="00163AD0" w:rsidP="00163AD0">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rsidR="00163AD0" w:rsidRPr="00222811" w:rsidRDefault="00163AD0" w:rsidP="00163AD0">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rsidR="00163AD0" w:rsidRPr="00222811" w:rsidRDefault="00163AD0" w:rsidP="00163AD0">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rsidR="00163AD0" w:rsidRPr="00222811" w:rsidRDefault="00163AD0" w:rsidP="00163AD0">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rsidR="00163AD0" w:rsidRDefault="00163AD0" w:rsidP="00163AD0">
      <w:pPr>
        <w:pStyle w:val="maintext"/>
        <w:ind w:firstLineChars="0" w:firstLine="0"/>
        <w:rPr>
          <w:rFonts w:ascii="Calibri" w:hAnsi="Calibri"/>
        </w:rPr>
      </w:pPr>
    </w:p>
    <w:p w:rsidR="00163AD0" w:rsidRDefault="00163AD0" w:rsidP="00163AD0">
      <w:pPr>
        <w:pStyle w:val="maintext"/>
        <w:ind w:firstLineChars="0" w:firstLine="0"/>
        <w:rPr>
          <w:rFonts w:ascii="Calibri" w:hAnsi="Calibri"/>
        </w:rPr>
      </w:pPr>
      <w:r>
        <w:rPr>
          <w:rFonts w:ascii="Calibri" w:hAnsi="Calibri"/>
        </w:rPr>
        <w:t>TDM multiplexing is the main priority of the IAB WI, however forward compatibility towards support of FDM/SDM must also be ensured in the design of the signalling and coordination mechanisms, as shown in Figure 3 where a</w:t>
      </w:r>
      <w:r w:rsidRPr="00222811">
        <w:rPr>
          <w:rFonts w:ascii="Calibri" w:hAnsi="Calibri"/>
        </w:rPr>
        <w:t xml:space="preserve"> frame-structu</w:t>
      </w:r>
      <w:r>
        <w:rPr>
          <w:rFonts w:ascii="Calibri" w:hAnsi="Calibri"/>
        </w:rPr>
        <w:t>re across the multiple hops is</w:t>
      </w:r>
      <w:r w:rsidRPr="00222811">
        <w:rPr>
          <w:rFonts w:ascii="Calibri" w:hAnsi="Calibri"/>
        </w:rPr>
        <w:t xml:space="preserve"> staggered </w:t>
      </w:r>
      <w:r>
        <w:rPr>
          <w:rFonts w:ascii="Calibri" w:hAnsi="Calibri"/>
        </w:rPr>
        <w:t>to achieve this objective</w:t>
      </w:r>
      <w:r w:rsidRPr="00222811">
        <w:rPr>
          <w:rFonts w:ascii="Calibri" w:hAnsi="Calibri"/>
        </w:rPr>
        <w:t>.</w:t>
      </w:r>
    </w:p>
    <w:p w:rsidR="0073093E" w:rsidRDefault="0073093E" w:rsidP="0073093E">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efficient multiplexing of backhaul and</w:t>
      </w:r>
      <w:r w:rsidRPr="00233D70">
        <w:rPr>
          <w:rFonts w:ascii="Calibri" w:hAnsi="Calibri"/>
        </w:rPr>
        <w:t xml:space="preserve"> access links operating on the same frequency to accommodate</w:t>
      </w:r>
      <w:r>
        <w:rPr>
          <w:rFonts w:ascii="Calibri" w:hAnsi="Calibri"/>
        </w:rPr>
        <w:t xml:space="preserve"> half-</w:t>
      </w:r>
      <w:r w:rsidRPr="00233D70">
        <w:rPr>
          <w:rFonts w:ascii="Calibri" w:hAnsi="Calibri"/>
        </w:rPr>
        <w:t>duplex constraints an</w:t>
      </w:r>
      <w:r>
        <w:rPr>
          <w:rFonts w:ascii="Calibri" w:hAnsi="Calibri"/>
        </w:rPr>
        <w:t>d avoid/mitigate interference.</w:t>
      </w:r>
    </w:p>
    <w:p w:rsidR="0073093E" w:rsidRDefault="0073093E" w:rsidP="00163AD0">
      <w:pPr>
        <w:pStyle w:val="maintext"/>
        <w:ind w:firstLineChars="0" w:firstLine="0"/>
        <w:rPr>
          <w:rFonts w:ascii="Calibri" w:hAnsi="Calibri"/>
        </w:rPr>
      </w:pPr>
    </w:p>
    <w:p w:rsidR="00163AD0" w:rsidRPr="00222811" w:rsidRDefault="00163AD0" w:rsidP="00163AD0">
      <w:pPr>
        <w:pStyle w:val="maintext"/>
        <w:ind w:firstLineChars="0" w:firstLine="0"/>
        <w:rPr>
          <w:rFonts w:ascii="Calibri" w:hAnsi="Calibri"/>
        </w:rPr>
      </w:pPr>
    </w:p>
    <w:p w:rsidR="00163AD0" w:rsidRDefault="00163AD0" w:rsidP="00163AD0">
      <w:pPr>
        <w:pStyle w:val="maintext"/>
        <w:ind w:firstLineChars="0" w:firstLine="0"/>
        <w:jc w:val="center"/>
        <w:rPr>
          <w:color w:val="1F497D"/>
        </w:rPr>
      </w:pPr>
      <w:r>
        <w:rPr>
          <w:noProof/>
          <w:color w:val="1F497D"/>
          <w:lang w:val="en-US" w:eastAsia="en-US"/>
        </w:rPr>
        <w:drawing>
          <wp:inline distT="0" distB="0" distL="0" distR="0" wp14:anchorId="6FBBE587" wp14:editId="16616907">
            <wp:extent cx="4612822" cy="2524630"/>
            <wp:effectExtent l="0" t="0" r="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693663" cy="2568875"/>
                    </a:xfrm>
                    <a:prstGeom prst="rect">
                      <a:avLst/>
                    </a:prstGeom>
                    <a:noFill/>
                    <a:ln>
                      <a:noFill/>
                    </a:ln>
                  </pic:spPr>
                </pic:pic>
              </a:graphicData>
            </a:graphic>
          </wp:inline>
        </w:drawing>
      </w:r>
    </w:p>
    <w:p w:rsidR="00FE4A8C" w:rsidRDefault="00163AD0" w:rsidP="0073093E">
      <w:pPr>
        <w:pStyle w:val="Caption"/>
        <w:ind w:left="720"/>
        <w:rPr>
          <w:rFonts w:ascii="Calibri" w:hAnsi="Calibri"/>
        </w:rPr>
      </w:pPr>
      <w:r w:rsidRPr="00077712">
        <w:rPr>
          <w:rFonts w:ascii="Calibri" w:hAnsi="Calibri"/>
        </w:rPr>
        <w:t xml:space="preserve">Figure </w:t>
      </w:r>
      <w:r>
        <w:rPr>
          <w:rFonts w:ascii="Calibri" w:hAnsi="Calibri"/>
        </w:rPr>
        <w:t>3</w:t>
      </w:r>
      <w:r w:rsidRPr="00077712">
        <w:rPr>
          <w:rFonts w:ascii="Calibri" w:hAnsi="Calibri"/>
        </w:rPr>
        <w:t xml:space="preserve">: </w:t>
      </w:r>
      <w:r>
        <w:rPr>
          <w:rFonts w:ascii="Calibri" w:hAnsi="Calibri"/>
        </w:rPr>
        <w:t>IAB frame structure</w:t>
      </w:r>
    </w:p>
    <w:p w:rsidR="007C350F" w:rsidRPr="00163AD0" w:rsidRDefault="007C350F" w:rsidP="00163AD0">
      <w:pPr>
        <w:pStyle w:val="Heading2"/>
      </w:pPr>
      <w:r>
        <w:t>Semi-static frame structure coordination</w:t>
      </w:r>
    </w:p>
    <w:p w:rsidR="00163AD0" w:rsidRDefault="00163AD0" w:rsidP="00163AD0">
      <w:pPr>
        <w:pStyle w:val="maintext"/>
        <w:ind w:firstLineChars="0" w:firstLine="0"/>
      </w:pPr>
      <w:r>
        <w:t>During RAN1#97 the following agreements were made:</w:t>
      </w:r>
    </w:p>
    <w:p w:rsidR="00163AD0" w:rsidRDefault="00163AD0" w:rsidP="00163AD0">
      <w:r w:rsidRPr="005C3558">
        <w:rPr>
          <w:highlight w:val="green"/>
        </w:rPr>
        <w:t>Agreements</w:t>
      </w:r>
      <w:r>
        <w:t>:</w:t>
      </w:r>
    </w:p>
    <w:p w:rsidR="00163AD0" w:rsidRPr="005C3558" w:rsidRDefault="00163AD0" w:rsidP="00163AD0">
      <w:pPr>
        <w:pStyle w:val="maintext"/>
        <w:ind w:firstLineChars="0" w:firstLine="0"/>
        <w:jc w:val="left"/>
        <w:rPr>
          <w:rFonts w:eastAsia="Times New Roman"/>
          <w:lang w:val="en-US" w:eastAsia="en-US"/>
        </w:rPr>
      </w:pPr>
      <w:r w:rsidRPr="005C3558">
        <w:rPr>
          <w:rFonts w:eastAsia="Times New Roman"/>
          <w:lang w:val="en-US" w:eastAsia="en-US"/>
        </w:rPr>
        <w:t>For the semi-static DU resource configuration, the following is supported:</w:t>
      </w:r>
    </w:p>
    <w:p w:rsidR="00163AD0" w:rsidRPr="005C3558" w:rsidRDefault="00163AD0" w:rsidP="00163AD0">
      <w:pPr>
        <w:pStyle w:val="maintext"/>
        <w:numPr>
          <w:ilvl w:val="0"/>
          <w:numId w:val="26"/>
        </w:numPr>
        <w:ind w:firstLineChars="0"/>
        <w:jc w:val="left"/>
        <w:rPr>
          <w:rFonts w:eastAsia="Times New Roman"/>
          <w:lang w:val="en-US" w:eastAsia="en-US"/>
        </w:rPr>
      </w:pPr>
      <w:r w:rsidRPr="005C3558">
        <w:rPr>
          <w:rFonts w:eastAsia="Times New Roman"/>
          <w:lang w:val="en-US" w:eastAsia="en-US"/>
        </w:rPr>
        <w:t>Indication of D/U/F resources in the semi-static DU resource configuration includes the following:</w:t>
      </w:r>
    </w:p>
    <w:p w:rsidR="00163AD0" w:rsidRPr="005C3558" w:rsidRDefault="00163AD0" w:rsidP="00163AD0">
      <w:pPr>
        <w:pStyle w:val="maintext"/>
        <w:numPr>
          <w:ilvl w:val="1"/>
          <w:numId w:val="26"/>
        </w:numPr>
        <w:ind w:firstLineChars="0"/>
        <w:jc w:val="left"/>
        <w:rPr>
          <w:rFonts w:eastAsia="Times New Roman"/>
          <w:lang w:val="en-US" w:eastAsia="en-US"/>
        </w:rPr>
      </w:pPr>
      <w:r w:rsidRPr="005C3558">
        <w:rPr>
          <w:rFonts w:eastAsia="Times New Roman"/>
          <w:lang w:val="en-US" w:eastAsia="en-US"/>
        </w:rPr>
        <w:t xml:space="preserve">The flexibility to configure all of the slot patterns and formats supported by the existing Rel-15 </w:t>
      </w:r>
      <w:r w:rsidRPr="005C3558">
        <w:rPr>
          <w:i/>
        </w:rPr>
        <w:t>TDD-UL-DL-Config</w:t>
      </w:r>
      <w:r w:rsidRPr="005C3558">
        <w:t xml:space="preserve"> RRC configurations and slot format table defined in Table 11.1.1-1 in TS38.213</w:t>
      </w:r>
    </w:p>
    <w:p w:rsidR="00163AD0" w:rsidRPr="005C3558" w:rsidRDefault="00163AD0" w:rsidP="00163AD0">
      <w:pPr>
        <w:pStyle w:val="maintext"/>
        <w:numPr>
          <w:ilvl w:val="2"/>
          <w:numId w:val="26"/>
        </w:numPr>
        <w:ind w:firstLineChars="0"/>
        <w:jc w:val="left"/>
        <w:rPr>
          <w:rFonts w:eastAsia="Times New Roman"/>
          <w:lang w:val="en-US" w:eastAsia="en-US"/>
        </w:rPr>
      </w:pPr>
      <w:r w:rsidRPr="005C3558">
        <w:rPr>
          <w:rFonts w:eastAsia="Times New Roman"/>
          <w:lang w:val="en-US" w:eastAsia="en-US"/>
        </w:rPr>
        <w:t>FFS: additional pattern durations than supported in Rel-15</w:t>
      </w:r>
    </w:p>
    <w:p w:rsidR="00163AD0" w:rsidRPr="005C3558" w:rsidRDefault="00163AD0" w:rsidP="00163AD0">
      <w:pPr>
        <w:pStyle w:val="maintext"/>
        <w:numPr>
          <w:ilvl w:val="2"/>
          <w:numId w:val="26"/>
        </w:numPr>
        <w:ind w:firstLineChars="0"/>
        <w:jc w:val="left"/>
        <w:rPr>
          <w:rFonts w:eastAsia="Times New Roman"/>
          <w:lang w:val="en-US" w:eastAsia="en-US"/>
        </w:rPr>
      </w:pPr>
      <w:r w:rsidRPr="005C3558">
        <w:rPr>
          <w:rFonts w:eastAsia="Times New Roman"/>
          <w:lang w:val="en-US" w:eastAsia="en-US"/>
        </w:rPr>
        <w:t>FFS: default resources or pattern</w:t>
      </w:r>
    </w:p>
    <w:p w:rsidR="00163AD0" w:rsidRPr="005C3558" w:rsidRDefault="00163AD0" w:rsidP="00163AD0">
      <w:pPr>
        <w:pStyle w:val="maintext"/>
        <w:numPr>
          <w:ilvl w:val="1"/>
          <w:numId w:val="26"/>
        </w:numPr>
        <w:ind w:firstLineChars="0"/>
        <w:jc w:val="left"/>
        <w:rPr>
          <w:rFonts w:eastAsia="Times New Roman"/>
          <w:lang w:val="en-US" w:eastAsia="en-US"/>
        </w:rPr>
      </w:pPr>
      <w:r w:rsidRPr="005C3558">
        <w:rPr>
          <w:rFonts w:eastAsia="Times New Roman"/>
          <w:lang w:val="en-US" w:eastAsia="en-US"/>
        </w:rPr>
        <w:t>New slot formats defined only for IAB nodes (DU and MTs) which begin with uplink slots, uplink symbols, or flexible symbols.</w:t>
      </w:r>
    </w:p>
    <w:p w:rsidR="00163AD0" w:rsidRPr="005C3558" w:rsidRDefault="00163AD0" w:rsidP="00163AD0">
      <w:pPr>
        <w:pStyle w:val="ListParagraph"/>
        <w:numPr>
          <w:ilvl w:val="2"/>
          <w:numId w:val="26"/>
        </w:numPr>
        <w:rPr>
          <w:rFonts w:ascii="Times New Roman" w:hAnsi="Times New Roman"/>
        </w:rPr>
      </w:pPr>
      <w:r w:rsidRPr="005C3558">
        <w:rPr>
          <w:rFonts w:ascii="Times New Roman" w:hAnsi="Times New Roman"/>
        </w:rPr>
        <w:t>Note: usage of these slot formats should be compatible with Rel-15 access UEs sharing the same link</w:t>
      </w:r>
    </w:p>
    <w:p w:rsidR="00163AD0" w:rsidRPr="00163AD0" w:rsidRDefault="00163AD0" w:rsidP="00163AD0">
      <w:pPr>
        <w:pStyle w:val="ListParagraph"/>
        <w:numPr>
          <w:ilvl w:val="2"/>
          <w:numId w:val="26"/>
        </w:numPr>
        <w:rPr>
          <w:rFonts w:ascii="Times New Roman" w:hAnsi="Times New Roman"/>
        </w:rPr>
      </w:pPr>
      <w:r w:rsidRPr="005C3558">
        <w:rPr>
          <w:rFonts w:ascii="Times New Roman" w:hAnsi="Times New Roman"/>
        </w:rPr>
        <w:t>FFS: whether these slot formats also need to be included in the MT RRC configuration and/or SFI carried on DCI Format 2_0</w:t>
      </w:r>
    </w:p>
    <w:p w:rsidR="00163AD0" w:rsidRDefault="00163AD0" w:rsidP="007C350F">
      <w:pPr>
        <w:pStyle w:val="maintext"/>
        <w:ind w:firstLineChars="0" w:firstLine="0"/>
        <w:rPr>
          <w:rFonts w:ascii="Calibri" w:hAnsi="Calibri" w:cs="Arial"/>
        </w:rPr>
      </w:pPr>
    </w:p>
    <w:p w:rsidR="007C350F" w:rsidRDefault="007C350F" w:rsidP="007C350F">
      <w:pPr>
        <w:pStyle w:val="maintext"/>
        <w:ind w:firstLineChars="0" w:firstLine="0"/>
        <w:rPr>
          <w:rFonts w:ascii="Calibri" w:hAnsi="Calibri" w:cs="Arial"/>
        </w:rPr>
      </w:pPr>
      <w:r>
        <w:rPr>
          <w:rFonts w:ascii="Calibri" w:hAnsi="Calibri" w:cs="Arial"/>
        </w:rPr>
        <w:t>The</w:t>
      </w:r>
      <w:r w:rsidRPr="00B66646">
        <w:rPr>
          <w:rFonts w:ascii="Calibri" w:hAnsi="Calibri" w:cs="Arial"/>
        </w:rPr>
        <w:t xml:space="preserve"> new TDD-UL-DL-Pattern configurations </w:t>
      </w:r>
      <w:r>
        <w:rPr>
          <w:rFonts w:ascii="Calibri" w:hAnsi="Calibri" w:cs="Arial"/>
        </w:rPr>
        <w:t xml:space="preserve">should </w:t>
      </w:r>
      <w:r w:rsidRPr="00B66646">
        <w:rPr>
          <w:rFonts w:ascii="Calibri" w:hAnsi="Calibri" w:cs="Arial"/>
        </w:rPr>
        <w:t>allow for patterns that start with uplink slots, uplink symbols, or flexible symbols</w:t>
      </w:r>
      <w:r>
        <w:rPr>
          <w:rFonts w:ascii="Calibri" w:hAnsi="Calibri" w:cs="Arial"/>
        </w:rPr>
        <w:t xml:space="preserve"> unlike the majority of the patterns defined in Rel-15 which start with downlink symbols</w:t>
      </w:r>
      <w:r w:rsidRPr="00B66646">
        <w:rPr>
          <w:rFonts w:ascii="Calibri" w:hAnsi="Calibri" w:cs="Arial"/>
        </w:rPr>
        <w:t xml:space="preserve">. </w:t>
      </w:r>
      <w:r>
        <w:rPr>
          <w:rFonts w:ascii="Calibri" w:hAnsi="Calibri" w:cs="Arial"/>
        </w:rPr>
        <w:t xml:space="preserve">This has the benefit of enabling a straightforward shift of the alignment of frame structures across hops as shown in Figure </w:t>
      </w:r>
      <w:r w:rsidR="00163AD0">
        <w:rPr>
          <w:rFonts w:ascii="Calibri" w:hAnsi="Calibri" w:cs="Arial"/>
        </w:rPr>
        <w:t>3</w:t>
      </w:r>
      <w:r>
        <w:rPr>
          <w:rFonts w:ascii="Calibri" w:hAnsi="Calibri" w:cs="Arial"/>
        </w:rPr>
        <w:t xml:space="preserve">, which is needed for both TDM as well as SDM access and backhaul multiplexing. </w:t>
      </w:r>
    </w:p>
    <w:p w:rsidR="0073093E" w:rsidRPr="0073093E" w:rsidRDefault="0073093E" w:rsidP="0073093E">
      <w:pPr>
        <w:pStyle w:val="maintext"/>
        <w:ind w:firstLineChars="0" w:firstLine="0"/>
        <w:rPr>
          <w:rFonts w:eastAsia="SimSun"/>
          <w:lang w:val="en-US" w:eastAsia="zh-CN"/>
        </w:rPr>
      </w:pPr>
      <w:r>
        <w:rPr>
          <w:rFonts w:ascii="Calibri" w:hAnsi="Calibri" w:cs="Arial"/>
        </w:rPr>
        <w:t>The existing supported slot formats are provided in 38.213 Table 11.1.1-1</w:t>
      </w:r>
    </w:p>
    <w:p w:rsidR="0073093E" w:rsidRDefault="0073093E" w:rsidP="0073093E">
      <w:pPr>
        <w:pStyle w:val="TH"/>
      </w:pPr>
      <w:bookmarkStart w:id="2" w:name="_Hlk512253773"/>
      <w:r>
        <w:t>Table 11.1.1-</w:t>
      </w:r>
      <w:bookmarkEnd w:id="2"/>
      <w:r>
        <w:t>1: Slot formats for normal cyclic prefix</w:t>
      </w:r>
    </w:p>
    <w:p w:rsidR="0073093E" w:rsidRDefault="0073093E" w:rsidP="0073093E">
      <w:pPr>
        <w:pStyle w:val="maintext"/>
        <w:ind w:firstLineChars="0" w:firstLine="0"/>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3093E" w:rsidTr="00FC5269">
        <w:trPr>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Format</w:t>
            </w:r>
          </w:p>
        </w:tc>
        <w:tc>
          <w:tcPr>
            <w:tcW w:w="8114" w:type="dxa"/>
            <w:gridSpan w:val="14"/>
            <w:tcBorders>
              <w:top w:val="single" w:sz="4" w:space="0" w:color="auto"/>
              <w:left w:val="single" w:sz="4" w:space="0" w:color="auto"/>
              <w:bottom w:val="nil"/>
              <w:right w:val="single" w:sz="4" w:space="0" w:color="auto"/>
            </w:tcBorders>
            <w:hideMark/>
          </w:tcPr>
          <w:p w:rsidR="0073093E" w:rsidRDefault="0073093E" w:rsidP="00FC5269">
            <w:pPr>
              <w:keepNext/>
              <w:keepLines/>
              <w:jc w:val="center"/>
              <w:rPr>
                <w:b/>
                <w:sz w:val="18"/>
              </w:rPr>
            </w:pPr>
            <w:r>
              <w:rPr>
                <w:b/>
                <w:sz w:val="18"/>
              </w:rPr>
              <w:t>Symbol number in a slot</w:t>
            </w:r>
          </w:p>
        </w:tc>
      </w:tr>
      <w:tr w:rsidR="0073093E" w:rsidTr="00FC52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93E" w:rsidRDefault="0073093E" w:rsidP="00FC5269">
            <w:pPr>
              <w:rPr>
                <w:b/>
                <w:sz w:val="18"/>
                <w:szCs w:val="24"/>
                <w:lang w:val="en-GB"/>
              </w:rPr>
            </w:pPr>
          </w:p>
        </w:tc>
        <w:tc>
          <w:tcPr>
            <w:tcW w:w="713"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0</w:t>
            </w:r>
          </w:p>
        </w:tc>
        <w:tc>
          <w:tcPr>
            <w:tcW w:w="571"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1</w:t>
            </w:r>
          </w:p>
        </w:tc>
        <w:tc>
          <w:tcPr>
            <w:tcW w:w="571"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2</w:t>
            </w:r>
          </w:p>
        </w:tc>
        <w:tc>
          <w:tcPr>
            <w:tcW w:w="569"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3</w:t>
            </w:r>
          </w:p>
        </w:tc>
        <w:tc>
          <w:tcPr>
            <w:tcW w:w="569"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4</w:t>
            </w:r>
          </w:p>
        </w:tc>
        <w:tc>
          <w:tcPr>
            <w:tcW w:w="569"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5</w:t>
            </w:r>
          </w:p>
        </w:tc>
        <w:tc>
          <w:tcPr>
            <w:tcW w:w="569"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6</w:t>
            </w:r>
          </w:p>
        </w:tc>
        <w:tc>
          <w:tcPr>
            <w:tcW w:w="569"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7</w:t>
            </w:r>
          </w:p>
        </w:tc>
        <w:tc>
          <w:tcPr>
            <w:tcW w:w="569"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8</w:t>
            </w:r>
          </w:p>
        </w:tc>
        <w:tc>
          <w:tcPr>
            <w:tcW w:w="569"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9</w:t>
            </w:r>
          </w:p>
        </w:tc>
        <w:tc>
          <w:tcPr>
            <w:tcW w:w="569"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10</w:t>
            </w:r>
          </w:p>
        </w:tc>
        <w:tc>
          <w:tcPr>
            <w:tcW w:w="569"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11</w:t>
            </w:r>
          </w:p>
        </w:tc>
        <w:tc>
          <w:tcPr>
            <w:tcW w:w="569"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12</w:t>
            </w:r>
          </w:p>
        </w:tc>
        <w:tc>
          <w:tcPr>
            <w:tcW w:w="569" w:type="dxa"/>
            <w:tcBorders>
              <w:top w:val="nil"/>
              <w:left w:val="single" w:sz="4" w:space="0" w:color="auto"/>
              <w:bottom w:val="single" w:sz="4" w:space="0" w:color="auto"/>
              <w:right w:val="single" w:sz="4" w:space="0" w:color="auto"/>
            </w:tcBorders>
            <w:hideMark/>
          </w:tcPr>
          <w:p w:rsidR="0073093E" w:rsidRDefault="0073093E" w:rsidP="00FC5269">
            <w:pPr>
              <w:keepNext/>
              <w:keepLines/>
              <w:jc w:val="center"/>
              <w:rPr>
                <w:b/>
                <w:sz w:val="18"/>
              </w:rPr>
            </w:pPr>
            <w:r>
              <w:rPr>
                <w:b/>
                <w:sz w:val="18"/>
              </w:rPr>
              <w:t>13</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lastRenderedPageBreak/>
              <w:t>0</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1</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2</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3</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4</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5</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6</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7</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8</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9</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10</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11</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12</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13</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14</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15</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16</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17</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18</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19</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20</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21</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22</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23</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24</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25</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26</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27</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28</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29</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30</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31</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32</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33</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lastRenderedPageBreak/>
              <w:t>34</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35</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36</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37</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38</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39</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40</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41</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42</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43</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44</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45</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46</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47</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48</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49</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50</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51</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52</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53</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54</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55</w:t>
            </w:r>
          </w:p>
        </w:tc>
        <w:tc>
          <w:tcPr>
            <w:tcW w:w="713"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rPr>
            </w:pPr>
            <w:r>
              <w:rPr>
                <w:sz w:val="18"/>
              </w:rPr>
              <w:t>D</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hideMark/>
          </w:tcPr>
          <w:p w:rsidR="0073093E" w:rsidRDefault="0073093E" w:rsidP="00FC5269">
            <w:pPr>
              <w:keepNext/>
              <w:keepLines/>
              <w:jc w:val="center"/>
              <w:rPr>
                <w:sz w:val="18"/>
                <w:highlight w:val="green"/>
              </w:rPr>
            </w:pPr>
            <w:r>
              <w:rPr>
                <w:sz w:val="18"/>
                <w:highlight w:val="green"/>
              </w:rPr>
              <w:t xml:space="preserve">56 – 254 </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rsidR="0073093E" w:rsidRDefault="0073093E" w:rsidP="00FC5269">
            <w:pPr>
              <w:keepNext/>
              <w:keepLines/>
              <w:jc w:val="center"/>
              <w:rPr>
                <w:sz w:val="18"/>
                <w:highlight w:val="green"/>
              </w:rPr>
            </w:pPr>
            <w:r>
              <w:rPr>
                <w:sz w:val="18"/>
                <w:highlight w:val="green"/>
              </w:rPr>
              <w:t>Reserved</w:t>
            </w:r>
          </w:p>
        </w:tc>
      </w:tr>
      <w:tr w:rsidR="0073093E" w:rsidTr="00FC5269">
        <w:trPr>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73093E" w:rsidRDefault="0073093E" w:rsidP="00FC5269">
            <w:pPr>
              <w:keepNext/>
              <w:keepLines/>
              <w:jc w:val="center"/>
              <w:rPr>
                <w:sz w:val="18"/>
              </w:rPr>
            </w:pPr>
            <w:r>
              <w:rPr>
                <w:sz w:val="18"/>
              </w:rPr>
              <w:t>255</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rsidR="0073093E" w:rsidRDefault="0073093E" w:rsidP="00FC5269">
            <w:pPr>
              <w:keepNext/>
              <w:keepLines/>
              <w:jc w:val="center"/>
              <w:rPr>
                <w:sz w:val="18"/>
              </w:rPr>
            </w:pPr>
            <w:r>
              <w:rPr>
                <w:sz w:val="18"/>
              </w:rPr>
              <w:t xml:space="preserve">UE determines the slot format for the slot based on </w:t>
            </w:r>
            <w:r>
              <w:rPr>
                <w:i/>
                <w:sz w:val="18"/>
              </w:rPr>
              <w:t>TDD-UL-DL-</w:t>
            </w:r>
            <w:proofErr w:type="spellStart"/>
            <w:r>
              <w:rPr>
                <w:i/>
                <w:sz w:val="18"/>
              </w:rPr>
              <w:t>ConfigurationCommon</w:t>
            </w:r>
            <w:proofErr w:type="spellEnd"/>
            <w:r>
              <w:rPr>
                <w:sz w:val="18"/>
              </w:rPr>
              <w:t xml:space="preserve">, or </w:t>
            </w:r>
            <w:r>
              <w:rPr>
                <w:i/>
                <w:sz w:val="18"/>
              </w:rPr>
              <w:t>TDD-UL-DL-</w:t>
            </w:r>
            <w:proofErr w:type="spellStart"/>
            <w:r>
              <w:rPr>
                <w:i/>
                <w:sz w:val="18"/>
              </w:rPr>
              <w:t>ConfigDedicated</w:t>
            </w:r>
            <w:proofErr w:type="spellEnd"/>
            <w:r>
              <w:rPr>
                <w:sz w:val="18"/>
              </w:rPr>
              <w:t xml:space="preserve"> and, if any, on detected DCI formats</w:t>
            </w:r>
          </w:p>
        </w:tc>
      </w:tr>
    </w:tbl>
    <w:p w:rsidR="0073093E" w:rsidRDefault="0073093E" w:rsidP="0073093E">
      <w:pPr>
        <w:pStyle w:val="maintext"/>
        <w:ind w:firstLineChars="0" w:firstLine="0"/>
      </w:pPr>
    </w:p>
    <w:p w:rsidR="00163AD0" w:rsidRDefault="0073093E" w:rsidP="007C350F">
      <w:pPr>
        <w:pStyle w:val="maintext"/>
        <w:ind w:firstLineChars="0" w:firstLine="0"/>
        <w:rPr>
          <w:rFonts w:ascii="Calibri" w:hAnsi="Calibri" w:cs="Arial"/>
        </w:rPr>
      </w:pPr>
      <w:r>
        <w:rPr>
          <w:rFonts w:ascii="Calibri" w:hAnsi="Calibri" w:cs="Arial"/>
        </w:rPr>
        <w:t>At least the following slot formats should be defined in Rel.16 for DUs and MTs:</w:t>
      </w:r>
    </w:p>
    <w:p w:rsidR="00A13160" w:rsidRDefault="00A13160" w:rsidP="007C350F">
      <w:pPr>
        <w:pStyle w:val="maintext"/>
        <w:ind w:firstLineChars="0" w:firstLine="0"/>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71"/>
        <w:gridCol w:w="571"/>
        <w:gridCol w:w="569"/>
        <w:gridCol w:w="569"/>
        <w:gridCol w:w="569"/>
        <w:gridCol w:w="569"/>
        <w:gridCol w:w="569"/>
        <w:gridCol w:w="569"/>
        <w:gridCol w:w="569"/>
        <w:gridCol w:w="569"/>
        <w:gridCol w:w="569"/>
        <w:gridCol w:w="569"/>
        <w:gridCol w:w="569"/>
      </w:tblGrid>
      <w:tr w:rsidR="00A13160" w:rsidTr="00A13160">
        <w:trPr>
          <w:jc w:val="center"/>
        </w:trPr>
        <w:tc>
          <w:tcPr>
            <w:tcW w:w="713"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rPr>
                <w:sz w:val="18"/>
              </w:rPr>
            </w:pPr>
            <w:r>
              <w:rPr>
                <w:sz w:val="18"/>
              </w:rPr>
              <w:t xml:space="preserve">  U</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r>
      <w:tr w:rsidR="00A13160" w:rsidTr="00A13160">
        <w:trPr>
          <w:jc w:val="center"/>
        </w:trPr>
        <w:tc>
          <w:tcPr>
            <w:tcW w:w="713"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A13160">
            <w:pPr>
              <w:keepNext/>
              <w:keepLines/>
              <w:rPr>
                <w:sz w:val="18"/>
              </w:rPr>
            </w:pPr>
            <w:r>
              <w:rPr>
                <w:sz w:val="18"/>
              </w:rPr>
              <w:t xml:space="preserve">  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r>
      <w:tr w:rsidR="00163AD0" w:rsidTr="00163AD0">
        <w:trPr>
          <w:jc w:val="center"/>
        </w:trPr>
        <w:tc>
          <w:tcPr>
            <w:tcW w:w="713"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163AD0" w:rsidRDefault="00163AD0" w:rsidP="00163AD0">
            <w:pPr>
              <w:keepNext/>
              <w:keepLines/>
              <w:rPr>
                <w:sz w:val="18"/>
              </w:rPr>
            </w:pPr>
            <w:r>
              <w:rPr>
                <w:sz w:val="18"/>
              </w:rPr>
              <w:t xml:space="preserve">  D</w:t>
            </w:r>
          </w:p>
        </w:tc>
        <w:tc>
          <w:tcPr>
            <w:tcW w:w="569" w:type="dxa"/>
            <w:tcBorders>
              <w:top w:val="single" w:sz="4" w:space="0" w:color="auto"/>
              <w:left w:val="single" w:sz="4" w:space="0" w:color="auto"/>
              <w:bottom w:val="single" w:sz="4" w:space="0" w:color="auto"/>
              <w:right w:val="single" w:sz="4" w:space="0" w:color="auto"/>
            </w:tcBorders>
            <w:hideMark/>
          </w:tcPr>
          <w:p w:rsidR="00163AD0" w:rsidRDefault="00163AD0" w:rsidP="00FC5269">
            <w:pPr>
              <w:keepNext/>
              <w:keepLines/>
              <w:jc w:val="center"/>
              <w:rPr>
                <w:sz w:val="18"/>
              </w:rPr>
            </w:pPr>
            <w:r>
              <w:rPr>
                <w:sz w:val="18"/>
              </w:rPr>
              <w:t>D</w:t>
            </w:r>
          </w:p>
        </w:tc>
      </w:tr>
    </w:tbl>
    <w:p w:rsidR="00A13160" w:rsidRDefault="00A13160" w:rsidP="007C350F">
      <w:pPr>
        <w:pStyle w:val="maintext"/>
        <w:ind w:firstLineChars="0" w:firstLine="0"/>
        <w:rPr>
          <w:rFonts w:ascii="Calibri" w:hAnsi="Calibri" w:cs="Arial"/>
        </w:rPr>
      </w:pPr>
    </w:p>
    <w:p w:rsidR="00A13160" w:rsidRDefault="00A13160" w:rsidP="007C350F">
      <w:pPr>
        <w:pStyle w:val="maintext"/>
        <w:ind w:firstLineChars="0" w:firstLine="0"/>
        <w:rPr>
          <w:rFonts w:ascii="Calibri" w:hAnsi="Calibri" w:cs="Arial"/>
        </w:rPr>
      </w:pPr>
      <w:r>
        <w:rPr>
          <w:rFonts w:ascii="Calibri" w:hAnsi="Calibri" w:cs="Arial"/>
        </w:rPr>
        <w:t xml:space="preserve">Note that the following symmetric 7-symbol allocation is already supported in 38.213: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71"/>
        <w:gridCol w:w="571"/>
        <w:gridCol w:w="569"/>
        <w:gridCol w:w="569"/>
        <w:gridCol w:w="569"/>
        <w:gridCol w:w="569"/>
        <w:gridCol w:w="569"/>
        <w:gridCol w:w="569"/>
        <w:gridCol w:w="569"/>
        <w:gridCol w:w="569"/>
        <w:gridCol w:w="569"/>
        <w:gridCol w:w="569"/>
        <w:gridCol w:w="569"/>
      </w:tblGrid>
      <w:tr w:rsidR="00A13160" w:rsidTr="00FC5269">
        <w:trPr>
          <w:jc w:val="center"/>
        </w:trPr>
        <w:tc>
          <w:tcPr>
            <w:tcW w:w="713"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rPr>
                <w:sz w:val="18"/>
              </w:rPr>
            </w:pPr>
            <w:r>
              <w:rPr>
                <w:sz w:val="18"/>
              </w:rPr>
              <w:t xml:space="preserve">  D</w:t>
            </w:r>
          </w:p>
        </w:tc>
        <w:tc>
          <w:tcPr>
            <w:tcW w:w="569" w:type="dxa"/>
            <w:tcBorders>
              <w:top w:val="single" w:sz="4" w:space="0" w:color="auto"/>
              <w:left w:val="single" w:sz="4" w:space="0" w:color="auto"/>
              <w:bottom w:val="single" w:sz="4" w:space="0" w:color="auto"/>
              <w:right w:val="single" w:sz="4" w:space="0" w:color="auto"/>
            </w:tcBorders>
            <w:hideMark/>
          </w:tcPr>
          <w:p w:rsidR="00A13160" w:rsidRDefault="00A13160" w:rsidP="00FC5269">
            <w:pPr>
              <w:keepNext/>
              <w:keepLines/>
              <w:jc w:val="center"/>
              <w:rPr>
                <w:sz w:val="18"/>
              </w:rPr>
            </w:pPr>
            <w:r>
              <w:rPr>
                <w:sz w:val="18"/>
              </w:rPr>
              <w:t>D</w:t>
            </w:r>
          </w:p>
        </w:tc>
      </w:tr>
    </w:tbl>
    <w:p w:rsidR="00163AD0" w:rsidRDefault="00A13160" w:rsidP="007C350F">
      <w:pPr>
        <w:pStyle w:val="maintext"/>
        <w:ind w:firstLineChars="0" w:firstLine="0"/>
        <w:rPr>
          <w:rFonts w:ascii="Calibri" w:hAnsi="Calibri" w:cs="Arial"/>
        </w:rPr>
      </w:pPr>
      <w:r>
        <w:rPr>
          <w:rFonts w:ascii="Calibri" w:hAnsi="Calibri" w:cs="Arial"/>
        </w:rPr>
        <w:t xml:space="preserve"> </w:t>
      </w:r>
    </w:p>
    <w:p w:rsidR="00A13160" w:rsidRDefault="00A13160" w:rsidP="007C350F">
      <w:pPr>
        <w:pStyle w:val="maintext"/>
        <w:ind w:firstLineChars="0" w:firstLine="0"/>
        <w:rPr>
          <w:rFonts w:ascii="Calibri" w:hAnsi="Calibri" w:cs="Arial"/>
        </w:rPr>
      </w:pPr>
      <w:r>
        <w:rPr>
          <w:rFonts w:ascii="Calibri" w:hAnsi="Calibri" w:cs="Arial"/>
        </w:rPr>
        <w:lastRenderedPageBreak/>
        <w:t xml:space="preserve">In addition, to support mini-slots with PDSCH duration less than 7 symbols, the </w:t>
      </w:r>
      <w:r w:rsidR="00DD2FB7">
        <w:rPr>
          <w:rFonts w:ascii="Calibri" w:hAnsi="Calibri" w:cs="Arial"/>
        </w:rPr>
        <w:t>slot formats such as rows 10-15 and 34-42</w:t>
      </w:r>
      <w:r>
        <w:rPr>
          <w:rFonts w:ascii="Calibri" w:hAnsi="Calibri" w:cs="Arial"/>
        </w:rPr>
        <w:t xml:space="preserve"> </w:t>
      </w:r>
      <w:r w:rsidR="00DD2FB7">
        <w:rPr>
          <w:rFonts w:ascii="Calibri" w:hAnsi="Calibri" w:cs="Arial"/>
        </w:rPr>
        <w:t xml:space="preserve">should be supported, </w:t>
      </w:r>
      <w:r>
        <w:rPr>
          <w:rFonts w:ascii="Calibri" w:hAnsi="Calibri" w:cs="Arial"/>
        </w:rPr>
        <w:t>based on the existing formats starting with D</w:t>
      </w:r>
      <w:r w:rsidR="00DD2FB7">
        <w:rPr>
          <w:rFonts w:ascii="Calibri" w:hAnsi="Calibri" w:cs="Arial"/>
        </w:rPr>
        <w:t xml:space="preserve"> or F, but flipping the order of the 7-symbol sub-slots.</w:t>
      </w:r>
    </w:p>
    <w:p w:rsidR="00A13160" w:rsidRPr="00163AD0" w:rsidRDefault="00A13160" w:rsidP="007C350F">
      <w:pPr>
        <w:pStyle w:val="maintext"/>
        <w:ind w:firstLineChars="0" w:firstLine="0"/>
        <w:rPr>
          <w:rFonts w:ascii="Calibri" w:hAnsi="Calibri" w:cs="Arial"/>
        </w:rPr>
      </w:pPr>
    </w:p>
    <w:p w:rsidR="007C350F" w:rsidRDefault="007C350F" w:rsidP="007C350F">
      <w:pPr>
        <w:pStyle w:val="maintext"/>
        <w:ind w:firstLineChars="0" w:firstLine="0"/>
        <w:rPr>
          <w:rFonts w:ascii="Calibri" w:hAnsi="Calibri"/>
          <w:b/>
        </w:rPr>
      </w:pPr>
      <w:r w:rsidRPr="00057E9B">
        <w:rPr>
          <w:rFonts w:ascii="Calibri" w:hAnsi="Calibri"/>
          <w:b/>
        </w:rPr>
        <w:t xml:space="preserve">Proposal </w:t>
      </w:r>
      <w:r>
        <w:rPr>
          <w:rFonts w:ascii="Calibri" w:hAnsi="Calibri"/>
          <w:b/>
        </w:rPr>
        <w:t>1</w:t>
      </w:r>
      <w:r w:rsidRPr="00057E9B">
        <w:rPr>
          <w:rFonts w:ascii="Calibri" w:hAnsi="Calibri"/>
          <w:b/>
        </w:rPr>
        <w:t xml:space="preserve">: </w:t>
      </w:r>
      <w:r>
        <w:rPr>
          <w:rFonts w:ascii="Calibri" w:hAnsi="Calibri"/>
          <w:b/>
        </w:rPr>
        <w:t xml:space="preserve">The </w:t>
      </w:r>
      <w:r w:rsidR="00DD2FB7">
        <w:rPr>
          <w:rFonts w:ascii="Calibri" w:hAnsi="Calibri"/>
          <w:b/>
        </w:rPr>
        <w:t xml:space="preserve">following </w:t>
      </w:r>
      <w:r>
        <w:rPr>
          <w:rFonts w:ascii="Calibri" w:hAnsi="Calibri"/>
          <w:b/>
        </w:rPr>
        <w:t xml:space="preserve">new slot formats </w:t>
      </w:r>
      <w:r w:rsidR="00DD2FB7">
        <w:rPr>
          <w:rFonts w:ascii="Calibri" w:hAnsi="Calibri"/>
          <w:b/>
        </w:rPr>
        <w:t xml:space="preserve">should be </w:t>
      </w:r>
      <w:r>
        <w:rPr>
          <w:rFonts w:ascii="Calibri" w:hAnsi="Calibri"/>
          <w:b/>
        </w:rPr>
        <w:t xml:space="preserve">defined for </w:t>
      </w:r>
      <w:r w:rsidR="00DD2FB7">
        <w:rPr>
          <w:rFonts w:ascii="Calibri" w:hAnsi="Calibri"/>
          <w:b/>
        </w:rPr>
        <w:t xml:space="preserve">use by </w:t>
      </w:r>
      <w:r>
        <w:rPr>
          <w:rFonts w:ascii="Calibri" w:hAnsi="Calibri"/>
          <w:b/>
        </w:rPr>
        <w:t>IAB</w:t>
      </w:r>
      <w:r w:rsidR="00DD2FB7">
        <w:rPr>
          <w:rFonts w:ascii="Calibri" w:hAnsi="Calibri"/>
          <w:b/>
        </w:rPr>
        <w:t xml:space="preserve">-nodes (DUs and MTs) in the semi-static F1-AP and RRC configurations, and as part </w:t>
      </w:r>
      <w:r w:rsidR="009147F1">
        <w:rPr>
          <w:rFonts w:ascii="Calibri" w:hAnsi="Calibri"/>
          <w:b/>
        </w:rPr>
        <w:t>the</w:t>
      </w:r>
      <w:r w:rsidR="00DD2FB7">
        <w:rPr>
          <w:rFonts w:ascii="Calibri" w:hAnsi="Calibri"/>
          <w:b/>
        </w:rPr>
        <w:t xml:space="preserve"> SFI in DCI Format 2_0:</w:t>
      </w:r>
    </w:p>
    <w:p w:rsidR="00DD2FB7" w:rsidRDefault="00DD2FB7" w:rsidP="007C350F">
      <w:pPr>
        <w:pStyle w:val="maintext"/>
        <w:ind w:firstLineChars="0" w:firstLine="0"/>
        <w:rPr>
          <w:rFonts w:ascii="Calibri" w:hAnsi="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71"/>
        <w:gridCol w:w="571"/>
        <w:gridCol w:w="569"/>
        <w:gridCol w:w="569"/>
        <w:gridCol w:w="569"/>
        <w:gridCol w:w="569"/>
        <w:gridCol w:w="569"/>
        <w:gridCol w:w="569"/>
        <w:gridCol w:w="569"/>
        <w:gridCol w:w="569"/>
        <w:gridCol w:w="569"/>
        <w:gridCol w:w="569"/>
        <w:gridCol w:w="569"/>
      </w:tblGrid>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rPr>
                <w:sz w:val="18"/>
              </w:rPr>
            </w:pPr>
            <w:r>
              <w:rPr>
                <w:sz w:val="18"/>
              </w:rPr>
              <w:t xml:space="preserve">  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rPr>
                <w:sz w:val="18"/>
              </w:rPr>
            </w:pPr>
            <w:r>
              <w:rPr>
                <w:sz w:val="18"/>
              </w:rPr>
              <w:t xml:space="preserve">  F</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F</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rPr>
                <w:sz w:val="18"/>
              </w:rPr>
            </w:pPr>
            <w:r>
              <w:rPr>
                <w:sz w:val="18"/>
              </w:rPr>
              <w:t xml:space="preserve">  D</w:t>
            </w:r>
          </w:p>
        </w:tc>
        <w:tc>
          <w:tcPr>
            <w:tcW w:w="569" w:type="dxa"/>
            <w:tcBorders>
              <w:top w:val="single" w:sz="4" w:space="0" w:color="auto"/>
              <w:left w:val="single" w:sz="4" w:space="0" w:color="auto"/>
              <w:bottom w:val="single" w:sz="4" w:space="0" w:color="auto"/>
              <w:right w:val="single" w:sz="4" w:space="0" w:color="auto"/>
            </w:tcBorders>
            <w:hideMark/>
          </w:tcPr>
          <w:p w:rsidR="00DD2FB7" w:rsidRDefault="00DD2FB7" w:rsidP="00FC5269">
            <w:pPr>
              <w:keepNext/>
              <w:keepLines/>
              <w:jc w:val="center"/>
              <w:rPr>
                <w:sz w:val="18"/>
              </w:rPr>
            </w:pPr>
            <w:r>
              <w:rPr>
                <w:sz w:val="18"/>
              </w:rPr>
              <w:t>D</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r w:rsidR="00DD2FB7" w:rsidTr="00FC5269">
        <w:trPr>
          <w:jc w:val="center"/>
        </w:trPr>
        <w:tc>
          <w:tcPr>
            <w:tcW w:w="713"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DD2FB7" w:rsidRDefault="00DD2FB7" w:rsidP="00DD2FB7">
            <w:pPr>
              <w:keepNext/>
              <w:keepLines/>
              <w:jc w:val="center"/>
              <w:rPr>
                <w:sz w:val="18"/>
              </w:rPr>
            </w:pPr>
            <w:r>
              <w:rPr>
                <w:sz w:val="18"/>
              </w:rPr>
              <w:t>U</w:t>
            </w:r>
          </w:p>
        </w:tc>
      </w:tr>
    </w:tbl>
    <w:p w:rsidR="007C350F" w:rsidRDefault="007C350F" w:rsidP="00632789">
      <w:pPr>
        <w:pStyle w:val="maintext"/>
        <w:ind w:firstLineChars="0" w:firstLine="0"/>
        <w:rPr>
          <w:rFonts w:ascii="Calibri" w:hAnsi="Calibri"/>
        </w:rPr>
      </w:pPr>
    </w:p>
    <w:p w:rsidR="008403AA" w:rsidRDefault="00766B7B" w:rsidP="00DD2FB7">
      <w:pPr>
        <w:pStyle w:val="Heading2"/>
      </w:pPr>
      <w:r>
        <w:t>Semi-static frame structure coordination</w:t>
      </w:r>
    </w:p>
    <w:p w:rsidR="00B66646" w:rsidRDefault="00B66646" w:rsidP="008403AA">
      <w:pPr>
        <w:pStyle w:val="maintext"/>
        <w:ind w:firstLineChars="0" w:firstLine="0"/>
      </w:pPr>
      <w:r>
        <w:t>During RAN1</w:t>
      </w:r>
      <w:r w:rsidR="00D77422">
        <w:t xml:space="preserve">#97 </w:t>
      </w:r>
      <w:r>
        <w:t>the following agreements were made:</w:t>
      </w:r>
    </w:p>
    <w:p w:rsidR="00D77422" w:rsidRDefault="00D77422" w:rsidP="00D77422">
      <w:r w:rsidRPr="005C3558">
        <w:rPr>
          <w:highlight w:val="green"/>
        </w:rPr>
        <w:t>Agreements</w:t>
      </w:r>
      <w:r>
        <w:t>:</w:t>
      </w:r>
    </w:p>
    <w:p w:rsidR="00D77422" w:rsidRPr="005C3558" w:rsidRDefault="00D77422" w:rsidP="00D77422">
      <w:pPr>
        <w:pStyle w:val="maintext"/>
        <w:ind w:firstLineChars="0" w:firstLine="0"/>
        <w:jc w:val="left"/>
        <w:rPr>
          <w:rFonts w:eastAsia="Times New Roman"/>
          <w:lang w:val="en-US" w:eastAsia="en-US"/>
        </w:rPr>
      </w:pPr>
      <w:r w:rsidRPr="005C3558">
        <w:rPr>
          <w:rFonts w:eastAsia="Times New Roman"/>
          <w:lang w:val="en-US" w:eastAsia="en-US"/>
        </w:rPr>
        <w:t>For the semi-static DU resource configuration, the following is supported:</w:t>
      </w:r>
    </w:p>
    <w:p w:rsidR="00D77422" w:rsidRPr="005C3558" w:rsidRDefault="00D77422" w:rsidP="00D77422">
      <w:pPr>
        <w:pStyle w:val="ListParagraph"/>
        <w:numPr>
          <w:ilvl w:val="0"/>
          <w:numId w:val="26"/>
        </w:numPr>
        <w:rPr>
          <w:rFonts w:ascii="Times New Roman" w:hAnsi="Times New Roman"/>
        </w:rPr>
      </w:pPr>
      <w:r w:rsidRPr="005C3558">
        <w:rPr>
          <w:rFonts w:ascii="Times New Roman" w:hAnsi="Times New Roman"/>
          <w:lang w:eastAsia="zh-CN"/>
        </w:rPr>
        <w:t>Indication of H/S/NA for the DU resource configuration is based on one of the following alternatives:</w:t>
      </w:r>
    </w:p>
    <w:p w:rsidR="00D77422" w:rsidRPr="005C3558" w:rsidRDefault="00D77422" w:rsidP="00D77422">
      <w:pPr>
        <w:pStyle w:val="maintext"/>
        <w:numPr>
          <w:ilvl w:val="1"/>
          <w:numId w:val="26"/>
        </w:numPr>
        <w:ind w:firstLineChars="0"/>
        <w:jc w:val="left"/>
        <w:rPr>
          <w:rFonts w:eastAsia="Times New Roman"/>
          <w:lang w:val="en-US" w:eastAsia="en-US"/>
        </w:rPr>
      </w:pPr>
      <w:r w:rsidRPr="005C3558">
        <w:rPr>
          <w:lang w:eastAsia="zh-CN"/>
        </w:rPr>
        <w:t>Alt. 1: H/S/NA is additionally explicitly indicated per-resource type (D/U/F) in each slot</w:t>
      </w:r>
    </w:p>
    <w:p w:rsidR="00D77422" w:rsidRPr="005C3558" w:rsidRDefault="00D77422" w:rsidP="00D77422">
      <w:pPr>
        <w:pStyle w:val="maintext"/>
        <w:numPr>
          <w:ilvl w:val="2"/>
          <w:numId w:val="26"/>
        </w:numPr>
        <w:ind w:firstLineChars="0"/>
        <w:jc w:val="left"/>
        <w:rPr>
          <w:rFonts w:eastAsia="Times New Roman"/>
          <w:lang w:val="en-US" w:eastAsia="en-US"/>
        </w:rPr>
      </w:pPr>
      <w:r w:rsidRPr="005C3558">
        <w:rPr>
          <w:rFonts w:eastAsia="Times New Roman"/>
          <w:lang w:val="en-US" w:eastAsia="en-US"/>
        </w:rPr>
        <w:t>To handle potential misalignment in time of the configured DU and MT resources when determining the validity of H/S/NA at the DU one of the following sub-alternatives need to be supported:</w:t>
      </w:r>
    </w:p>
    <w:p w:rsidR="00D77422" w:rsidRPr="005C3558" w:rsidRDefault="00D77422" w:rsidP="00D77422">
      <w:pPr>
        <w:pStyle w:val="ListParagraph"/>
        <w:numPr>
          <w:ilvl w:val="3"/>
          <w:numId w:val="26"/>
        </w:numPr>
        <w:rPr>
          <w:rFonts w:ascii="Times New Roman" w:hAnsi="Times New Roman"/>
        </w:rPr>
      </w:pPr>
      <w:r w:rsidRPr="005C3558">
        <w:rPr>
          <w:rFonts w:ascii="Times New Roman" w:hAnsi="Times New Roman"/>
        </w:rPr>
        <w:lastRenderedPageBreak/>
        <w:t>1a: H/S/NA is applied relative to the DU resource configuration (D/U/F) slot timing without considering the MT resource configuration or timing.</w:t>
      </w:r>
    </w:p>
    <w:p w:rsidR="00D77422" w:rsidRPr="005C3558" w:rsidRDefault="00D77422" w:rsidP="00D77422">
      <w:pPr>
        <w:pStyle w:val="maintext"/>
        <w:numPr>
          <w:ilvl w:val="4"/>
          <w:numId w:val="26"/>
        </w:numPr>
        <w:ind w:firstLineChars="0"/>
        <w:jc w:val="left"/>
        <w:rPr>
          <w:rFonts w:eastAsia="Times New Roman"/>
          <w:lang w:val="en-US" w:eastAsia="en-US"/>
        </w:rPr>
      </w:pPr>
      <w:r w:rsidRPr="005C3558">
        <w:rPr>
          <w:rFonts w:eastAsia="Times New Roman"/>
          <w:lang w:val="en-US" w:eastAsia="en-US"/>
        </w:rPr>
        <w:t>FFS: definition of additional restrictions on the usage of the semi-static configuration (e.g. guard symbols) based on deployment scenario or DL/UL switching times within an IAB node, etc.</w:t>
      </w:r>
    </w:p>
    <w:p w:rsidR="00D77422" w:rsidRPr="005C3558" w:rsidRDefault="00D77422" w:rsidP="00D77422">
      <w:pPr>
        <w:pStyle w:val="maintext"/>
        <w:numPr>
          <w:ilvl w:val="4"/>
          <w:numId w:val="26"/>
        </w:numPr>
        <w:ind w:firstLineChars="0"/>
        <w:jc w:val="left"/>
        <w:rPr>
          <w:rFonts w:eastAsia="Times New Roman"/>
          <w:lang w:val="en-US" w:eastAsia="en-US"/>
        </w:rPr>
      </w:pPr>
      <w:r w:rsidRPr="005C3558">
        <w:rPr>
          <w:rFonts w:eastAsia="Times New Roman"/>
          <w:lang w:val="en-US" w:eastAsia="en-US"/>
        </w:rPr>
        <w:t>FFS: How the CU can get information about the required guard symbols for a given DU configuration if needed</w:t>
      </w:r>
    </w:p>
    <w:p w:rsidR="00D77422" w:rsidRPr="005C3558" w:rsidRDefault="00D77422" w:rsidP="00D77422">
      <w:pPr>
        <w:pStyle w:val="ListParagraph"/>
        <w:numPr>
          <w:ilvl w:val="3"/>
          <w:numId w:val="26"/>
        </w:numPr>
        <w:rPr>
          <w:rFonts w:ascii="Times New Roman" w:hAnsi="Times New Roman"/>
        </w:rPr>
      </w:pPr>
      <w:r w:rsidRPr="005C3558">
        <w:rPr>
          <w:rFonts w:ascii="Times New Roman" w:hAnsi="Times New Roman"/>
        </w:rPr>
        <w:t>1b: H/S/NA is applied relative to the MT resource configuration (D/U/F) slot timing.</w:t>
      </w:r>
    </w:p>
    <w:p w:rsidR="00D77422" w:rsidRPr="005C3558" w:rsidRDefault="00D77422" w:rsidP="00D77422">
      <w:pPr>
        <w:pStyle w:val="ListParagraph"/>
        <w:numPr>
          <w:ilvl w:val="4"/>
          <w:numId w:val="26"/>
        </w:numPr>
        <w:rPr>
          <w:rFonts w:ascii="Times New Roman" w:hAnsi="Times New Roman"/>
        </w:rPr>
      </w:pPr>
      <w:r w:rsidRPr="005C3558">
        <w:rPr>
          <w:rFonts w:ascii="Times New Roman" w:hAnsi="Times New Roman"/>
        </w:rPr>
        <w:t>FFS: Whether and/or how the CU will know the actual H/S/NA resources at the child DU</w:t>
      </w:r>
    </w:p>
    <w:p w:rsidR="00D77422" w:rsidRPr="005C3558" w:rsidRDefault="00D77422" w:rsidP="00D77422">
      <w:pPr>
        <w:pStyle w:val="ListParagraph"/>
        <w:numPr>
          <w:ilvl w:val="4"/>
          <w:numId w:val="26"/>
        </w:numPr>
        <w:rPr>
          <w:rFonts w:ascii="Times New Roman" w:hAnsi="Times New Roman"/>
        </w:rPr>
      </w:pPr>
      <w:r w:rsidRPr="005C3558">
        <w:rPr>
          <w:rFonts w:ascii="Times New Roman" w:hAnsi="Times New Roman"/>
        </w:rPr>
        <w:t>FFS whether S is explicitly indicated or not</w:t>
      </w:r>
    </w:p>
    <w:p w:rsidR="00D77422" w:rsidRPr="005C3558" w:rsidRDefault="00D77422" w:rsidP="00D77422">
      <w:pPr>
        <w:pStyle w:val="ListParagraph"/>
        <w:numPr>
          <w:ilvl w:val="3"/>
          <w:numId w:val="26"/>
        </w:numPr>
        <w:rPr>
          <w:rFonts w:ascii="Times New Roman" w:hAnsi="Times New Roman"/>
        </w:rPr>
      </w:pPr>
      <w:r w:rsidRPr="005C3558">
        <w:rPr>
          <w:rFonts w:ascii="Times New Roman" w:hAnsi="Times New Roman"/>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rsidR="00D77422" w:rsidRPr="005C3558" w:rsidRDefault="00D77422" w:rsidP="00D77422">
      <w:pPr>
        <w:pStyle w:val="ListParagraph"/>
        <w:numPr>
          <w:ilvl w:val="4"/>
          <w:numId w:val="26"/>
        </w:numPr>
        <w:rPr>
          <w:rFonts w:ascii="Times New Roman" w:hAnsi="Times New Roman"/>
        </w:rPr>
      </w:pPr>
      <w:r w:rsidRPr="005C3558">
        <w:rPr>
          <w:rFonts w:ascii="Times New Roman" w:hAnsi="Times New Roman"/>
        </w:rPr>
        <w:t>FFS: Whether and/or how the CU will know the actual S/NA resources at the child DU</w:t>
      </w:r>
    </w:p>
    <w:p w:rsidR="00D77422" w:rsidRPr="005C3558" w:rsidRDefault="00D77422" w:rsidP="00D77422">
      <w:pPr>
        <w:pStyle w:val="ListParagraph"/>
        <w:numPr>
          <w:ilvl w:val="1"/>
          <w:numId w:val="26"/>
        </w:numPr>
        <w:rPr>
          <w:rFonts w:ascii="Times New Roman" w:hAnsi="Times New Roman"/>
          <w:lang w:eastAsia="zh-CN"/>
        </w:rPr>
      </w:pPr>
      <w:r w:rsidRPr="005C3558">
        <w:rPr>
          <w:rFonts w:ascii="Times New Roman" w:hAnsi="Times New Roman"/>
          <w:lang w:eastAsia="zh-CN"/>
        </w:rPr>
        <w:t xml:space="preserve">Alt. 2: NA is explicitly indicated as a resource type in each slot for both the DU and MT configuration. H/S is not explicitly indicated, but implicitly determined by the DU based on the corresponding MT configuration </w:t>
      </w:r>
    </w:p>
    <w:p w:rsidR="00D77422" w:rsidRPr="005C3558" w:rsidRDefault="00D77422" w:rsidP="00D77422">
      <w:pPr>
        <w:pStyle w:val="ListParagraph"/>
        <w:numPr>
          <w:ilvl w:val="2"/>
          <w:numId w:val="26"/>
        </w:numPr>
        <w:rPr>
          <w:rFonts w:ascii="Times New Roman" w:hAnsi="Times New Roman"/>
          <w:lang w:eastAsia="zh-CN"/>
        </w:rPr>
      </w:pPr>
      <w:r w:rsidRPr="005C3558">
        <w:rPr>
          <w:rFonts w:ascii="Times New Roman" w:hAnsi="Times New Roman"/>
          <w:lang w:eastAsia="zh-CN"/>
        </w:rPr>
        <w:t>FFS: how to handle the case where there is not a 1-1 mapping of DUs and MTs in the child IAB node</w:t>
      </w:r>
    </w:p>
    <w:p w:rsidR="00AD70C0" w:rsidRPr="00163AD0" w:rsidRDefault="00D77422" w:rsidP="00163AD0">
      <w:pPr>
        <w:pStyle w:val="maintext"/>
        <w:numPr>
          <w:ilvl w:val="0"/>
          <w:numId w:val="26"/>
        </w:numPr>
        <w:ind w:firstLineChars="0"/>
        <w:jc w:val="left"/>
        <w:rPr>
          <w:rFonts w:eastAsia="Times New Roman"/>
          <w:lang w:val="en-US" w:eastAsia="en-US"/>
        </w:rPr>
      </w:pPr>
      <w:r w:rsidRPr="005C3558">
        <w:rPr>
          <w:rFonts w:eastAsia="Times New Roman"/>
          <w:lang w:val="en-US" w:eastAsia="en-US"/>
        </w:rPr>
        <w:t>Details of the F1-AP signaling design is up to RAN3</w:t>
      </w:r>
    </w:p>
    <w:p w:rsidR="00D77422" w:rsidRPr="008403AA" w:rsidRDefault="00D77422" w:rsidP="008403AA">
      <w:pPr>
        <w:pStyle w:val="maintext"/>
        <w:ind w:firstLineChars="0" w:firstLine="0"/>
      </w:pPr>
    </w:p>
    <w:p w:rsidR="008403AA" w:rsidRDefault="002528A7" w:rsidP="009550DA">
      <w:pPr>
        <w:pStyle w:val="maintext"/>
        <w:ind w:firstLineChars="0" w:firstLine="0"/>
        <w:rPr>
          <w:rFonts w:ascii="Calibri" w:hAnsi="Calibri"/>
        </w:rPr>
      </w:pPr>
      <w:r>
        <w:rPr>
          <w:rFonts w:ascii="Calibri" w:hAnsi="Calibri"/>
        </w:rPr>
        <w:t>In order to achieve TDM partitioning of parent and child links while also enabling FDM or SDM in a forward compatible manner, the following two principles need to be supported in the design of the coordination signalling:</w:t>
      </w:r>
    </w:p>
    <w:p w:rsidR="002528A7" w:rsidRDefault="002528A7" w:rsidP="002528A7">
      <w:pPr>
        <w:pStyle w:val="maintext"/>
        <w:numPr>
          <w:ilvl w:val="0"/>
          <w:numId w:val="20"/>
        </w:numPr>
        <w:ind w:firstLineChars="0"/>
        <w:rPr>
          <w:rFonts w:ascii="Calibri" w:hAnsi="Calibri"/>
        </w:rPr>
      </w:pPr>
      <w:r>
        <w:rPr>
          <w:rFonts w:ascii="Calibri" w:hAnsi="Calibri"/>
        </w:rPr>
        <w:t>Explicit configuration of whether a resource for a given DU child link is Hard or Soft</w:t>
      </w:r>
    </w:p>
    <w:p w:rsidR="00815023" w:rsidRPr="00C36905" w:rsidRDefault="002528A7" w:rsidP="00C36905">
      <w:pPr>
        <w:pStyle w:val="maintext"/>
        <w:numPr>
          <w:ilvl w:val="0"/>
          <w:numId w:val="20"/>
        </w:numPr>
        <w:ind w:firstLineChars="0"/>
        <w:rPr>
          <w:rFonts w:ascii="Calibri" w:hAnsi="Calibri"/>
        </w:rPr>
      </w:pPr>
      <w:r>
        <w:rPr>
          <w:rFonts w:ascii="Calibri" w:hAnsi="Calibri"/>
        </w:rPr>
        <w:t>Explicit indication of whether given time resources are available or not available from the IAB node’s perspective</w:t>
      </w:r>
    </w:p>
    <w:p w:rsidR="007C350F" w:rsidRPr="00C36905" w:rsidRDefault="00766B7B" w:rsidP="007C350F">
      <w:pPr>
        <w:pStyle w:val="maintext"/>
        <w:ind w:firstLineChars="0" w:firstLine="0"/>
        <w:rPr>
          <w:rFonts w:ascii="Calibri" w:hAnsi="Calibri"/>
        </w:rPr>
      </w:pPr>
      <w:r>
        <w:rPr>
          <w:rFonts w:ascii="Calibri" w:hAnsi="Calibri"/>
        </w:rPr>
        <w:t>While implicit indication of available/not-available and hard/soft could be used to support TDM operation, it becomes very challenging to later add support of SDM operation, since additional IAB node behaviour or signalling must be introduced to avoid confusion about the correct utilization of a given resources.</w:t>
      </w:r>
      <w:r w:rsidR="00C36905">
        <w:rPr>
          <w:rFonts w:ascii="Calibri" w:hAnsi="Calibri"/>
        </w:rPr>
        <w:t xml:space="preserve"> </w:t>
      </w:r>
      <w:r w:rsidR="007C350F">
        <w:rPr>
          <w:rFonts w:ascii="Calibri" w:hAnsi="Calibri"/>
          <w:bCs/>
        </w:rPr>
        <w:t>This corresponds with Alt.1 from RAN1#97.</w:t>
      </w:r>
    </w:p>
    <w:p w:rsidR="007C350F" w:rsidRPr="00766B7B" w:rsidRDefault="007C350F" w:rsidP="007C350F">
      <w:pPr>
        <w:pStyle w:val="maintext"/>
        <w:ind w:firstLineChars="0" w:firstLine="0"/>
        <w:rPr>
          <w:rFonts w:ascii="Calibri" w:hAnsi="Calibri"/>
          <w:b/>
        </w:rPr>
      </w:pPr>
      <w:r w:rsidRPr="00057E9B">
        <w:rPr>
          <w:rFonts w:ascii="Calibri" w:hAnsi="Calibri"/>
          <w:b/>
        </w:rPr>
        <w:t xml:space="preserve">Proposal </w:t>
      </w:r>
      <w:r w:rsidR="00163AD0">
        <w:rPr>
          <w:rFonts w:ascii="Calibri" w:hAnsi="Calibri"/>
          <w:b/>
        </w:rPr>
        <w:t>2</w:t>
      </w:r>
      <w:r w:rsidRPr="00057E9B">
        <w:rPr>
          <w:rFonts w:ascii="Calibri" w:hAnsi="Calibri"/>
          <w:b/>
        </w:rPr>
        <w:t xml:space="preserve">: </w:t>
      </w:r>
      <w:r>
        <w:rPr>
          <w:rFonts w:ascii="Calibri" w:hAnsi="Calibri"/>
          <w:b/>
        </w:rPr>
        <w:t>H/S/NA is additionally explicitly indicated per resource type (D/U/F) in each slot.</w:t>
      </w:r>
    </w:p>
    <w:p w:rsidR="004B7BD3" w:rsidRDefault="004B7BD3" w:rsidP="004B7BD3">
      <w:pPr>
        <w:pStyle w:val="maintext"/>
        <w:ind w:firstLineChars="0" w:firstLine="0"/>
        <w:jc w:val="left"/>
        <w:rPr>
          <w:rFonts w:eastAsia="Times New Roman"/>
          <w:lang w:val="en-US" w:eastAsia="en-US"/>
        </w:rPr>
      </w:pPr>
    </w:p>
    <w:p w:rsidR="00FC5269" w:rsidRDefault="004B7BD3" w:rsidP="004B7BD3">
      <w:pPr>
        <w:pStyle w:val="maintext"/>
        <w:ind w:firstLineChars="0" w:firstLine="0"/>
        <w:jc w:val="left"/>
        <w:rPr>
          <w:rFonts w:ascii="Calibri" w:hAnsi="Calibri"/>
        </w:rPr>
      </w:pPr>
      <w:r>
        <w:rPr>
          <w:rFonts w:ascii="Calibri" w:hAnsi="Calibri"/>
        </w:rPr>
        <w:t>As additionally described in the RAN1#97 agreements, t</w:t>
      </w:r>
      <w:r w:rsidR="00974C06" w:rsidRPr="004B7BD3">
        <w:rPr>
          <w:rFonts w:ascii="Calibri" w:hAnsi="Calibri"/>
        </w:rPr>
        <w:t>o handle potential misalignment in time of the configured DU and MT resources when determining the validity of H/S/NA at the DU</w:t>
      </w:r>
      <w:r w:rsidR="00C36905">
        <w:rPr>
          <w:rFonts w:ascii="Calibri" w:hAnsi="Calibri"/>
        </w:rPr>
        <w:t>,</w:t>
      </w:r>
      <w:r w:rsidR="00974C06" w:rsidRPr="004B7BD3">
        <w:rPr>
          <w:rFonts w:ascii="Calibri" w:hAnsi="Calibri"/>
        </w:rPr>
        <w:t xml:space="preserve"> </w:t>
      </w:r>
      <w:r>
        <w:rPr>
          <w:rFonts w:ascii="Calibri" w:hAnsi="Calibri"/>
        </w:rPr>
        <w:t xml:space="preserve">the timing of the application of the indicated resources </w:t>
      </w:r>
      <w:r w:rsidR="00C36905">
        <w:rPr>
          <w:rFonts w:ascii="Calibri" w:hAnsi="Calibri"/>
        </w:rPr>
        <w:t xml:space="preserve">relative to either the DU or MT configuration timing </w:t>
      </w:r>
      <w:r>
        <w:rPr>
          <w:rFonts w:ascii="Calibri" w:hAnsi="Calibri"/>
        </w:rPr>
        <w:t>needs to be considered.</w:t>
      </w:r>
      <w:r w:rsidR="00FC5269">
        <w:rPr>
          <w:rFonts w:ascii="Calibri" w:hAnsi="Calibri"/>
        </w:rPr>
        <w:t xml:space="preserve"> Since the usage of H/S/NA resources is related to the multiplexing option supported by the network/IAB-node, it is reasonable that the indication can be provided relative to the MT resource configuration slot timing. </w:t>
      </w:r>
    </w:p>
    <w:p w:rsidR="00974C06" w:rsidRDefault="00FC5269" w:rsidP="004B7BD3">
      <w:pPr>
        <w:pStyle w:val="maintext"/>
        <w:ind w:firstLineChars="0" w:firstLine="0"/>
        <w:jc w:val="left"/>
        <w:rPr>
          <w:rFonts w:ascii="Calibri" w:hAnsi="Calibri"/>
        </w:rPr>
      </w:pPr>
      <w:r>
        <w:rPr>
          <w:rFonts w:ascii="Calibri" w:hAnsi="Calibri"/>
        </w:rPr>
        <w:t>This additionally aligns with the explicit indication of soft resources which is also relative to the MT configuration assuming that existing DCI Format 2_0-like signalling is reused. Since the CU applies both the DU and MT resource configurations (via F1-AP and RRC), it should be left to appropriate configuration to avoid any scenarios where an ambiguous or inappropriate configuration may occur (e.g. indication of availability across resource types or conflicting with the enforced duplexing constraint). This solution corresponds with Alt 1b. from RAN1#97.</w:t>
      </w:r>
    </w:p>
    <w:p w:rsidR="00FC5269" w:rsidRPr="00FC5269" w:rsidRDefault="00FC5269" w:rsidP="00FC5269">
      <w:pPr>
        <w:rPr>
          <w:rFonts w:ascii="Calibri" w:eastAsia="Malgun Gothic" w:hAnsi="Calibri" w:cs="Batang"/>
          <w:b/>
          <w:lang w:val="en-GB" w:eastAsia="ko-KR"/>
        </w:rPr>
      </w:pPr>
      <w:r w:rsidRPr="00FC5269">
        <w:rPr>
          <w:rFonts w:ascii="Calibri" w:hAnsi="Calibri"/>
          <w:b/>
        </w:rPr>
        <w:t xml:space="preserve">Proposal 3: </w:t>
      </w:r>
      <w:r w:rsidRPr="00FC5269">
        <w:rPr>
          <w:rFonts w:ascii="Calibri" w:eastAsia="Malgun Gothic" w:hAnsi="Calibri" w:cs="Batang"/>
          <w:b/>
          <w:lang w:val="en-GB" w:eastAsia="ko-KR"/>
        </w:rPr>
        <w:t>H/S/NA is applied relative to the MT resource configuration (D/U/F) slot timing.</w:t>
      </w:r>
    </w:p>
    <w:p w:rsidR="00FC5269" w:rsidRPr="00766B7B" w:rsidRDefault="00FC5269" w:rsidP="00FC5269">
      <w:pPr>
        <w:pStyle w:val="maintext"/>
        <w:ind w:firstLineChars="0" w:firstLine="0"/>
        <w:rPr>
          <w:rFonts w:ascii="Calibri" w:hAnsi="Calibri"/>
          <w:b/>
        </w:rPr>
      </w:pPr>
    </w:p>
    <w:p w:rsidR="00FC5269" w:rsidRPr="004B7BD3" w:rsidRDefault="00FC5269" w:rsidP="004B7BD3">
      <w:pPr>
        <w:pStyle w:val="maintext"/>
        <w:ind w:firstLineChars="0" w:firstLine="0"/>
        <w:jc w:val="left"/>
        <w:rPr>
          <w:rFonts w:ascii="Calibri" w:hAnsi="Calibri"/>
        </w:rPr>
      </w:pPr>
    </w:p>
    <w:p w:rsidR="00AE54EF" w:rsidRDefault="00AE54EF" w:rsidP="009550DA">
      <w:pPr>
        <w:pStyle w:val="maintext"/>
        <w:ind w:firstLineChars="0" w:firstLine="0"/>
        <w:rPr>
          <w:rFonts w:ascii="Calibri" w:hAnsi="Calibri"/>
          <w:b/>
        </w:rPr>
      </w:pPr>
    </w:p>
    <w:p w:rsidR="00155BC2" w:rsidRDefault="00155BC2" w:rsidP="00155BC2">
      <w:pPr>
        <w:pStyle w:val="Heading2"/>
      </w:pPr>
      <w:r>
        <w:lastRenderedPageBreak/>
        <w:t>Dynamic frame structure coordination</w:t>
      </w:r>
    </w:p>
    <w:p w:rsidR="00AD70C0" w:rsidRDefault="00AD70C0" w:rsidP="001E02F3">
      <w:pPr>
        <w:pStyle w:val="maintext"/>
        <w:ind w:firstLineChars="0" w:firstLine="0"/>
        <w:rPr>
          <w:rFonts w:ascii="Calibri" w:hAnsi="Calibri" w:cs="Arial"/>
        </w:rPr>
      </w:pPr>
      <w:r>
        <w:rPr>
          <w:rFonts w:ascii="Calibri" w:hAnsi="Calibri" w:cs="Arial"/>
        </w:rPr>
        <w:t>During RAN1#9</w:t>
      </w:r>
      <w:r w:rsidR="003E306F">
        <w:rPr>
          <w:rFonts w:ascii="Calibri" w:hAnsi="Calibri" w:cs="Arial"/>
        </w:rPr>
        <w:t xml:space="preserve">7 </w:t>
      </w:r>
      <w:r>
        <w:rPr>
          <w:rFonts w:ascii="Calibri" w:hAnsi="Calibri" w:cs="Arial"/>
        </w:rPr>
        <w:t xml:space="preserve">the following </w:t>
      </w:r>
      <w:r w:rsidR="003E306F">
        <w:rPr>
          <w:rFonts w:ascii="Calibri" w:hAnsi="Calibri" w:cs="Arial"/>
        </w:rPr>
        <w:t>conclusion</w:t>
      </w:r>
      <w:r>
        <w:rPr>
          <w:rFonts w:ascii="Calibri" w:hAnsi="Calibri" w:cs="Arial"/>
        </w:rPr>
        <w:t xml:space="preserve"> w</w:t>
      </w:r>
      <w:r w:rsidR="0073093E">
        <w:rPr>
          <w:rFonts w:ascii="Calibri" w:hAnsi="Calibri" w:cs="Arial"/>
        </w:rPr>
        <w:t xml:space="preserve">as </w:t>
      </w:r>
      <w:r>
        <w:rPr>
          <w:rFonts w:ascii="Calibri" w:hAnsi="Calibri" w:cs="Arial"/>
        </w:rPr>
        <w:t>made:</w:t>
      </w:r>
    </w:p>
    <w:p w:rsidR="003E306F" w:rsidRPr="00D51F83" w:rsidRDefault="003E306F" w:rsidP="003E306F">
      <w:r w:rsidRPr="00D51F83">
        <w:rPr>
          <w:b/>
          <w:u w:val="single"/>
        </w:rPr>
        <w:t>Conclusion</w:t>
      </w:r>
      <w:r w:rsidRPr="00D51F83">
        <w:t>:</w:t>
      </w:r>
    </w:p>
    <w:p w:rsidR="003E306F" w:rsidRPr="00D51F83" w:rsidRDefault="003E306F" w:rsidP="003E306F">
      <w:r w:rsidRPr="00D51F83">
        <w:t>The following alternatives are considered (to be down-selected in RAN1#98) for the explicit indication of the availability of soft resources:</w:t>
      </w:r>
    </w:p>
    <w:p w:rsidR="003E306F" w:rsidRPr="00D51F83" w:rsidRDefault="003E306F" w:rsidP="003E306F">
      <w:pPr>
        <w:pStyle w:val="ListParagraph"/>
        <w:numPr>
          <w:ilvl w:val="0"/>
          <w:numId w:val="27"/>
        </w:numPr>
      </w:pPr>
      <w:r w:rsidRPr="00D51F83">
        <w:t>Alt 1) Indicate which MT resources are “IA” for the child DU (DU-IA)</w:t>
      </w:r>
    </w:p>
    <w:p w:rsidR="003E306F" w:rsidRPr="00D51F83" w:rsidRDefault="003E306F" w:rsidP="003E306F">
      <w:pPr>
        <w:pStyle w:val="ListParagraph"/>
        <w:numPr>
          <w:ilvl w:val="0"/>
          <w:numId w:val="27"/>
        </w:numPr>
      </w:pPr>
      <w:r w:rsidRPr="00D51F83">
        <w:t>Alt 2a) Indicate DU-IA and MT resource type (MT-D/MT-U/MT-F)</w:t>
      </w:r>
    </w:p>
    <w:p w:rsidR="003E306F" w:rsidRPr="00D51F83" w:rsidRDefault="003E306F" w:rsidP="003E306F">
      <w:pPr>
        <w:pStyle w:val="ListParagraph"/>
        <w:numPr>
          <w:ilvl w:val="0"/>
          <w:numId w:val="27"/>
        </w:numPr>
      </w:pPr>
      <w:r w:rsidRPr="00D51F83">
        <w:t>Alt 2b) Indicate DU-IA and DU resource type (DU-D/DU-U/DU-F)</w:t>
      </w:r>
    </w:p>
    <w:p w:rsidR="003E306F" w:rsidRPr="00D51F83" w:rsidRDefault="003E306F" w:rsidP="003E306F">
      <w:pPr>
        <w:pStyle w:val="ListParagraph"/>
        <w:numPr>
          <w:ilvl w:val="0"/>
          <w:numId w:val="27"/>
        </w:numPr>
      </w:pPr>
      <w:r w:rsidRPr="00D51F83">
        <w:t xml:space="preserve">Alt 3) Jointly or separately indicate DU-IA, the DU resource type, and/or MT resource type </w:t>
      </w:r>
    </w:p>
    <w:p w:rsidR="003E306F" w:rsidRPr="00D51F83" w:rsidRDefault="003E306F" w:rsidP="003E306F">
      <w:pPr>
        <w:pStyle w:val="ListParagraph"/>
        <w:numPr>
          <w:ilvl w:val="0"/>
          <w:numId w:val="27"/>
        </w:numPr>
      </w:pPr>
      <w:r w:rsidRPr="00D51F83">
        <w:t>FFS: monitoring occasions for the explicit indication at the MT</w:t>
      </w:r>
    </w:p>
    <w:p w:rsidR="00AD70C0" w:rsidRPr="00FC5269" w:rsidRDefault="003E306F" w:rsidP="00FC5269">
      <w:pPr>
        <w:pStyle w:val="ListParagraph"/>
        <w:numPr>
          <w:ilvl w:val="0"/>
          <w:numId w:val="27"/>
        </w:numPr>
      </w:pPr>
      <w:r w:rsidRPr="00D51F83">
        <w:t>FFS: whether the processing time for applying an explicit indication at the child DU is defined or left to implementation.</w:t>
      </w:r>
    </w:p>
    <w:p w:rsidR="001E02F3" w:rsidRPr="001E02F3" w:rsidRDefault="00004522" w:rsidP="001E02F3">
      <w:pPr>
        <w:pStyle w:val="maintext"/>
        <w:ind w:firstLineChars="0" w:firstLine="0"/>
        <w:rPr>
          <w:rFonts w:ascii="Calibri" w:hAnsi="Calibri" w:cs="Arial"/>
        </w:rPr>
      </w:pPr>
      <w:r>
        <w:rPr>
          <w:rFonts w:ascii="Calibri" w:hAnsi="Calibri" w:cs="Arial"/>
        </w:rPr>
        <w:t>To support the different resource partitions discussed in this section</w:t>
      </w:r>
      <w:r w:rsidRPr="004F7571">
        <w:rPr>
          <w:rFonts w:ascii="Calibri" w:hAnsi="Calibri" w:cs="Arial"/>
        </w:rPr>
        <w:t xml:space="preserve"> the network </w:t>
      </w:r>
      <w:r>
        <w:rPr>
          <w:rFonts w:ascii="Calibri" w:hAnsi="Calibri" w:cs="Arial"/>
        </w:rPr>
        <w:t>may utilize</w:t>
      </w:r>
      <w:r w:rsidRPr="004F7571">
        <w:rPr>
          <w:rFonts w:ascii="Calibri" w:hAnsi="Calibri" w:cs="Arial"/>
        </w:rPr>
        <w:t xml:space="preserve"> semi-static TDD UL/DL configuration</w:t>
      </w:r>
      <w:r>
        <w:rPr>
          <w:rFonts w:ascii="Calibri" w:hAnsi="Calibri" w:cs="Arial"/>
        </w:rPr>
        <w:t>s to coordinate between DU functions of different IAB nodes</w:t>
      </w:r>
      <w:r w:rsidR="00901B67">
        <w:rPr>
          <w:rFonts w:ascii="Calibri" w:hAnsi="Calibri" w:cs="Arial"/>
        </w:rPr>
        <w:t xml:space="preserve"> (e.g. using the F1 interface)</w:t>
      </w:r>
      <w:r>
        <w:rPr>
          <w:rFonts w:ascii="Calibri" w:hAnsi="Calibri" w:cs="Arial"/>
        </w:rPr>
        <w:t xml:space="preserve">. However, </w:t>
      </w:r>
      <w:r w:rsidR="001E02F3">
        <w:rPr>
          <w:rFonts w:ascii="Calibri" w:hAnsi="Calibri" w:cs="Arial"/>
        </w:rPr>
        <w:t xml:space="preserve">more dynamic mechanisms for resource coordination </w:t>
      </w:r>
      <w:r w:rsidR="00624678">
        <w:rPr>
          <w:rFonts w:ascii="Calibri" w:hAnsi="Calibri" w:cs="Arial"/>
        </w:rPr>
        <w:t>is beneficial</w:t>
      </w:r>
      <w:r w:rsidR="00FC5269">
        <w:rPr>
          <w:rFonts w:ascii="Calibri" w:hAnsi="Calibri" w:cs="Arial"/>
        </w:rPr>
        <w:t xml:space="preserve">. </w:t>
      </w:r>
      <w:r w:rsidR="00BA315C">
        <w:rPr>
          <w:rFonts w:ascii="Calibri" w:hAnsi="Calibri" w:cs="Arial"/>
        </w:rPr>
        <w:t xml:space="preserve">Figure </w:t>
      </w:r>
      <w:r w:rsidR="0073093E">
        <w:rPr>
          <w:rFonts w:ascii="Calibri" w:hAnsi="Calibri" w:cs="Arial"/>
        </w:rPr>
        <w:t>4</w:t>
      </w:r>
      <w:r w:rsidR="001E02F3">
        <w:rPr>
          <w:rFonts w:ascii="Calibri" w:hAnsi="Calibri" w:cs="Arial"/>
        </w:rPr>
        <w:t xml:space="preserve"> gives an example where </w:t>
      </w:r>
      <w:r w:rsidR="001E02F3" w:rsidRPr="001E02F3">
        <w:rPr>
          <w:rFonts w:ascii="Calibri" w:hAnsi="Calibri" w:cs="Arial"/>
        </w:rPr>
        <w:t xml:space="preserve">the DL and UL alternates to ensure the half-duplex constraint is maintained at the IAB node, however during slot t + 1 and slot t + 2, the IAB parent node does not have any DL traffic to schedule (e.g. </w:t>
      </w:r>
      <w:r w:rsidR="001E02F3">
        <w:rPr>
          <w:rFonts w:ascii="Calibri" w:hAnsi="Calibri" w:cs="Arial"/>
        </w:rPr>
        <w:t>for access and backhaul links</w:t>
      </w:r>
      <w:r w:rsidR="001E02F3" w:rsidRPr="001E02F3">
        <w:rPr>
          <w:rFonts w:ascii="Calibri" w:hAnsi="Calibri" w:cs="Arial"/>
        </w:rPr>
        <w:t xml:space="preserve">) for the </w:t>
      </w:r>
      <w:r w:rsidR="001E02F3">
        <w:rPr>
          <w:rFonts w:ascii="Calibri" w:hAnsi="Calibri" w:cs="Arial"/>
        </w:rPr>
        <w:t>child IAB node</w:t>
      </w:r>
      <w:r w:rsidR="001E02F3" w:rsidRPr="001E02F3">
        <w:rPr>
          <w:rFonts w:ascii="Calibri" w:hAnsi="Calibri" w:cs="Arial"/>
        </w:rPr>
        <w:t>. However</w:t>
      </w:r>
      <w:r w:rsidR="00624678">
        <w:rPr>
          <w:rFonts w:ascii="Calibri" w:hAnsi="Calibri" w:cs="Arial"/>
        </w:rPr>
        <w:t>,</w:t>
      </w:r>
      <w:r w:rsidR="001E02F3" w:rsidRPr="001E02F3">
        <w:rPr>
          <w:rFonts w:ascii="Calibri" w:hAnsi="Calibri" w:cs="Arial"/>
        </w:rPr>
        <w:t xml:space="preserve"> since the frame structure is semi-statically coordinated, the IAB DU cannot adapt the frame structure to allow DL transmissions (to access UEs or other IAB nodes) since it is not aware of the potential scheduling of the IAB parent node.</w:t>
      </w:r>
    </w:p>
    <w:p w:rsidR="001E02F3" w:rsidRDefault="001E02F3" w:rsidP="001E02F3">
      <w:pPr>
        <w:spacing w:after="160" w:line="259" w:lineRule="auto"/>
        <w:rPr>
          <w:rFonts w:asciiTheme="minorHAnsi" w:hAnsiTheme="minorHAnsi"/>
          <w:color w:val="000000"/>
          <w:sz w:val="22"/>
          <w:szCs w:val="22"/>
        </w:rPr>
      </w:pPr>
      <w:r>
        <w:rPr>
          <w:rFonts w:asciiTheme="minorHAnsi" w:hAnsiTheme="minorHAnsi"/>
          <w:noProof/>
          <w:color w:val="000000"/>
          <w:sz w:val="22"/>
          <w:szCs w:val="22"/>
        </w:rPr>
        <w:drawing>
          <wp:inline distT="0" distB="0" distL="0" distR="0" wp14:anchorId="2A805780">
            <wp:extent cx="6394817" cy="20383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3606" cy="2041151"/>
                    </a:xfrm>
                    <a:prstGeom prst="rect">
                      <a:avLst/>
                    </a:prstGeom>
                    <a:noFill/>
                  </pic:spPr>
                </pic:pic>
              </a:graphicData>
            </a:graphic>
          </wp:inline>
        </w:drawing>
      </w:r>
    </w:p>
    <w:p w:rsidR="001E02F3" w:rsidRDefault="001E02F3" w:rsidP="001E02F3">
      <w:pPr>
        <w:pStyle w:val="Caption"/>
        <w:ind w:left="720"/>
        <w:rPr>
          <w:rFonts w:ascii="Calibri" w:hAnsi="Calibri"/>
        </w:rPr>
      </w:pPr>
      <w:r w:rsidRPr="001E02F3">
        <w:rPr>
          <w:rFonts w:ascii="Calibri" w:hAnsi="Calibri"/>
        </w:rPr>
        <w:t xml:space="preserve">Figure </w:t>
      </w:r>
      <w:r w:rsidR="0073093E">
        <w:rPr>
          <w:rFonts w:ascii="Calibri" w:hAnsi="Calibri"/>
        </w:rPr>
        <w:t>4</w:t>
      </w:r>
      <w:r w:rsidRPr="001E02F3">
        <w:rPr>
          <w:rFonts w:ascii="Calibri" w:hAnsi="Calibri"/>
        </w:rPr>
        <w:t>: IAB frame structure without coordination</w:t>
      </w:r>
    </w:p>
    <w:p w:rsidR="008563DB" w:rsidRPr="001E02F3" w:rsidRDefault="008563DB" w:rsidP="008563DB">
      <w:pPr>
        <w:pStyle w:val="maintext"/>
        <w:ind w:firstLineChars="0" w:firstLine="0"/>
        <w:rPr>
          <w:rFonts w:ascii="Calibri" w:hAnsi="Calibri" w:cs="Arial"/>
        </w:rPr>
      </w:pPr>
      <w:r>
        <w:rPr>
          <w:rFonts w:ascii="Calibri" w:hAnsi="Calibri" w:cs="Arial"/>
          <w:noProof/>
          <w:lang w:val="en-US" w:eastAsia="en-US"/>
        </w:rPr>
        <w:drawing>
          <wp:inline distT="0" distB="0" distL="0" distR="0" wp14:anchorId="7F31736D" wp14:editId="27262186">
            <wp:extent cx="6316652" cy="196827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4175" cy="1973735"/>
                    </a:xfrm>
                    <a:prstGeom prst="rect">
                      <a:avLst/>
                    </a:prstGeom>
                    <a:noFill/>
                  </pic:spPr>
                </pic:pic>
              </a:graphicData>
            </a:graphic>
          </wp:inline>
        </w:drawing>
      </w:r>
    </w:p>
    <w:p w:rsidR="008563DB" w:rsidRPr="00886940" w:rsidRDefault="008563DB" w:rsidP="008563DB">
      <w:pPr>
        <w:pStyle w:val="Caption"/>
        <w:ind w:left="720"/>
        <w:rPr>
          <w:rFonts w:ascii="Calibri" w:hAnsi="Calibri"/>
        </w:rPr>
      </w:pPr>
      <w:r w:rsidRPr="00886940">
        <w:rPr>
          <w:rFonts w:ascii="Calibri" w:hAnsi="Calibri"/>
        </w:rPr>
        <w:t xml:space="preserve">Figure </w:t>
      </w:r>
      <w:r w:rsidR="0073093E">
        <w:rPr>
          <w:rFonts w:ascii="Calibri" w:hAnsi="Calibri"/>
        </w:rPr>
        <w:t>5</w:t>
      </w:r>
      <w:r w:rsidRPr="00886940">
        <w:rPr>
          <w:rFonts w:ascii="Calibri" w:hAnsi="Calibri"/>
        </w:rPr>
        <w:t>: IAB frame structure with dynamic coordination</w:t>
      </w:r>
    </w:p>
    <w:p w:rsidR="001E02F3" w:rsidRDefault="001E02F3" w:rsidP="001E02F3">
      <w:pPr>
        <w:pStyle w:val="maintext"/>
        <w:ind w:firstLineChars="0" w:firstLine="0"/>
        <w:rPr>
          <w:rFonts w:ascii="Calibri" w:hAnsi="Calibri" w:cs="Arial"/>
        </w:rPr>
      </w:pPr>
      <w:r w:rsidRPr="001E02F3">
        <w:rPr>
          <w:rFonts w:ascii="Calibri" w:hAnsi="Calibri" w:cs="Arial"/>
        </w:rPr>
        <w:lastRenderedPageBreak/>
        <w:t xml:space="preserve">However, if the IAB parent and IAB node can perform dynamic frame structure coordination (DFSC), the parent node can indicate to the IAB MT function that a set of resources are available or released, overriding the semi-statically coordinated and configured DL/UL resource pattern. The IAB </w:t>
      </w:r>
      <w:r>
        <w:rPr>
          <w:rFonts w:ascii="Calibri" w:hAnsi="Calibri" w:cs="Arial"/>
        </w:rPr>
        <w:t>node can internally determine</w:t>
      </w:r>
      <w:r w:rsidRPr="001E02F3">
        <w:rPr>
          <w:rFonts w:ascii="Calibri" w:hAnsi="Calibri" w:cs="Arial"/>
        </w:rPr>
        <w:t xml:space="preserve"> </w:t>
      </w:r>
      <w:r>
        <w:rPr>
          <w:rFonts w:ascii="Calibri" w:hAnsi="Calibri" w:cs="Arial"/>
        </w:rPr>
        <w:t xml:space="preserve">whether to </w:t>
      </w:r>
      <w:r w:rsidRPr="001E02F3">
        <w:rPr>
          <w:rFonts w:ascii="Calibri" w:hAnsi="Calibri" w:cs="Arial"/>
        </w:rPr>
        <w:t>utilize those</w:t>
      </w:r>
      <w:r>
        <w:rPr>
          <w:rFonts w:ascii="Calibri" w:hAnsi="Calibri" w:cs="Arial"/>
        </w:rPr>
        <w:t xml:space="preserve"> newly available resources</w:t>
      </w:r>
      <w:r w:rsidRPr="001E02F3">
        <w:rPr>
          <w:rFonts w:ascii="Calibri" w:hAnsi="Calibri" w:cs="Arial"/>
        </w:rPr>
        <w:t xml:space="preserve">. Figure </w:t>
      </w:r>
      <w:r w:rsidR="0073093E">
        <w:rPr>
          <w:rFonts w:ascii="Calibri" w:hAnsi="Calibri" w:cs="Arial"/>
        </w:rPr>
        <w:t>5</w:t>
      </w:r>
      <w:r w:rsidRPr="001E02F3">
        <w:rPr>
          <w:rFonts w:ascii="Calibri" w:hAnsi="Calibri" w:cs="Arial"/>
        </w:rPr>
        <w:t xml:space="preserve"> gives an example of DFSC signalling and coordination, where at the beginning of the DL portion of slot t + 1 the IAB parent node indicates that the remaining DL resources in slot t + 1 and slot t + 2 are available for usage by the IAB DU for DL transmissions instead of UL </w:t>
      </w:r>
      <w:r>
        <w:rPr>
          <w:rFonts w:ascii="Calibri" w:hAnsi="Calibri" w:cs="Arial"/>
        </w:rPr>
        <w:t>taking into account</w:t>
      </w:r>
      <w:r w:rsidRPr="001E02F3">
        <w:rPr>
          <w:rFonts w:ascii="Calibri" w:hAnsi="Calibri" w:cs="Arial"/>
        </w:rPr>
        <w:t xml:space="preserve"> </w:t>
      </w:r>
      <w:r>
        <w:rPr>
          <w:rFonts w:ascii="Calibri" w:hAnsi="Calibri" w:cs="Arial"/>
        </w:rPr>
        <w:t>delays associated with</w:t>
      </w:r>
      <w:r w:rsidRPr="001E02F3">
        <w:rPr>
          <w:rFonts w:ascii="Calibri" w:hAnsi="Calibri" w:cs="Arial"/>
        </w:rPr>
        <w:t xml:space="preserve"> the reception processing time at the IAB </w:t>
      </w:r>
      <w:r>
        <w:rPr>
          <w:rFonts w:ascii="Calibri" w:hAnsi="Calibri" w:cs="Arial"/>
        </w:rPr>
        <w:t>node’s MT</w:t>
      </w:r>
      <w:r w:rsidRPr="001E02F3">
        <w:rPr>
          <w:rFonts w:ascii="Calibri" w:hAnsi="Calibri" w:cs="Arial"/>
        </w:rPr>
        <w:t xml:space="preserve"> and scheduling processing time at the IAB</w:t>
      </w:r>
      <w:r>
        <w:rPr>
          <w:rFonts w:ascii="Calibri" w:hAnsi="Calibri" w:cs="Arial"/>
        </w:rPr>
        <w:t xml:space="preserve"> node’s</w:t>
      </w:r>
      <w:r w:rsidRPr="001E02F3">
        <w:rPr>
          <w:rFonts w:ascii="Calibri" w:hAnsi="Calibri" w:cs="Arial"/>
        </w:rPr>
        <w:t xml:space="preserve"> DU.</w:t>
      </w:r>
    </w:p>
    <w:p w:rsidR="00B66646" w:rsidRDefault="00872D80" w:rsidP="001E02F3">
      <w:pPr>
        <w:pStyle w:val="maintext"/>
        <w:ind w:firstLineChars="0" w:firstLine="0"/>
        <w:rPr>
          <w:rFonts w:ascii="Calibri" w:hAnsi="Calibri" w:cs="Arial"/>
        </w:rPr>
      </w:pPr>
      <w:r>
        <w:rPr>
          <w:rFonts w:ascii="Calibri" w:hAnsi="Calibri" w:cs="Arial"/>
        </w:rPr>
        <w:t xml:space="preserve">While the configuration of the “hard” DL/UL/Flexible resources is performed in a semi-static manner using F1/RRC signalling for the DU and MT respectively, in order to perform DFSC, existing Rel.15 signalling mechanisms can be used, namely the use of the GC-PDCCH to indicate the slot format(s) which can be used in the case of soft resources. </w:t>
      </w:r>
      <w:r w:rsidR="00B66646">
        <w:rPr>
          <w:rFonts w:ascii="Calibri" w:hAnsi="Calibri" w:cs="Arial"/>
        </w:rPr>
        <w:t>As described in 38.213 section 11.1.1:</w:t>
      </w:r>
    </w:p>
    <w:p w:rsidR="00B66646" w:rsidRDefault="00B66646" w:rsidP="00B66646">
      <w:pPr>
        <w:pStyle w:val="maintext"/>
        <w:ind w:left="720" w:firstLineChars="0" w:firstLine="0"/>
        <w:rPr>
          <w:rFonts w:eastAsia="SimSun"/>
          <w:lang w:val="en-US" w:eastAsia="zh-CN"/>
        </w:rPr>
      </w:pPr>
      <w:proofErr w:type="gramStart"/>
      <w:r>
        <w:rPr>
          <w:rFonts w:eastAsia="SimSun"/>
          <w:lang w:eastAsia="zh-CN"/>
        </w:rPr>
        <w:t>A</w:t>
      </w:r>
      <w:proofErr w:type="gramEnd"/>
      <w:r>
        <w:rPr>
          <w:rFonts w:eastAsia="SimSun"/>
          <w:lang w:eastAsia="zh-CN"/>
        </w:rPr>
        <w:t xml:space="preserve"> </w:t>
      </w:r>
      <w:r>
        <w:t xml:space="preserve">SFI-index field </w:t>
      </w:r>
      <w:r>
        <w:rPr>
          <w:lang w:val="en-US"/>
        </w:rPr>
        <w:t xml:space="preserve">value in a </w:t>
      </w:r>
      <w:r>
        <w:rPr>
          <w:rFonts w:eastAsia="SimSun"/>
          <w:lang w:eastAsia="zh-CN"/>
        </w:rPr>
        <w:t xml:space="preserve">DCI format 2_0 indicates to a UE </w:t>
      </w:r>
      <w:r>
        <w:rPr>
          <w:rFonts w:eastAsia="SimSun"/>
          <w:lang w:val="en-US" w:eastAsia="zh-CN"/>
        </w:rPr>
        <w:t xml:space="preserve">a slot format for each slot in a number of slots for each DL BWP or each UL BWP starting from a slot where the UE detects the DCI format 2_0. </w:t>
      </w:r>
    </w:p>
    <w:p w:rsidR="00B66646" w:rsidRDefault="00B66646" w:rsidP="00B66646">
      <w:pPr>
        <w:pStyle w:val="maintext"/>
        <w:ind w:left="720" w:firstLineChars="0" w:firstLine="0"/>
        <w:rPr>
          <w:rFonts w:eastAsia="SimSun"/>
          <w:lang w:val="en-US" w:eastAsia="zh-CN"/>
        </w:rPr>
      </w:pPr>
      <w:r>
        <w:rPr>
          <w:rFonts w:eastAsia="SimSun"/>
          <w:lang w:val="en-US" w:eastAsia="zh-CN"/>
        </w:rPr>
        <w:t>…</w:t>
      </w:r>
    </w:p>
    <w:p w:rsidR="00C74682" w:rsidRDefault="002B4932" w:rsidP="00FB2665">
      <w:pPr>
        <w:pStyle w:val="maintext"/>
        <w:ind w:firstLineChars="0" w:firstLine="0"/>
      </w:pPr>
      <w:r>
        <w:rPr>
          <w:rFonts w:ascii="Calibri" w:hAnsi="Calibri" w:cs="Arial"/>
        </w:rPr>
        <w:t xml:space="preserve">This corresponds with Alt 2a from RA1#97. When receiving the </w:t>
      </w:r>
      <w:r w:rsidR="009147F1">
        <w:rPr>
          <w:rFonts w:ascii="Calibri" w:hAnsi="Calibri" w:cs="Arial"/>
        </w:rPr>
        <w:t>GC-PDCCH command, the MT applies the updated configuration and passes the indication to the DU which can assume the resources aligning with its soft resources are indicated as available.</w:t>
      </w:r>
    </w:p>
    <w:p w:rsidR="00C74682" w:rsidRDefault="00C74682" w:rsidP="00FB2665">
      <w:pPr>
        <w:pStyle w:val="maintext"/>
        <w:ind w:firstLineChars="0" w:firstLine="0"/>
      </w:pPr>
      <w:r w:rsidRPr="00057E9B">
        <w:rPr>
          <w:rFonts w:ascii="Calibri" w:hAnsi="Calibri"/>
          <w:b/>
        </w:rPr>
        <w:t xml:space="preserve">Proposal </w:t>
      </w:r>
      <w:r w:rsidR="00AE54EF">
        <w:rPr>
          <w:rFonts w:ascii="Calibri" w:hAnsi="Calibri"/>
          <w:b/>
        </w:rPr>
        <w:t>4</w:t>
      </w:r>
      <w:r w:rsidRPr="00057E9B">
        <w:rPr>
          <w:rFonts w:ascii="Calibri" w:hAnsi="Calibri"/>
          <w:b/>
        </w:rPr>
        <w:t xml:space="preserve">: </w:t>
      </w:r>
      <w:r>
        <w:rPr>
          <w:rFonts w:ascii="Calibri" w:hAnsi="Calibri"/>
          <w:b/>
        </w:rPr>
        <w:t xml:space="preserve">IAB should support </w:t>
      </w:r>
      <w:r w:rsidR="00287D80">
        <w:rPr>
          <w:rFonts w:ascii="Calibri" w:hAnsi="Calibri"/>
          <w:b/>
        </w:rPr>
        <w:t xml:space="preserve">explicit indication of soft resource availability </w:t>
      </w:r>
      <w:r>
        <w:rPr>
          <w:rFonts w:ascii="Calibri" w:hAnsi="Calibri"/>
          <w:b/>
        </w:rPr>
        <w:t xml:space="preserve">by using GC-PDCCH signalling </w:t>
      </w:r>
      <w:r w:rsidR="00287D80">
        <w:rPr>
          <w:rFonts w:ascii="Calibri" w:hAnsi="Calibri"/>
          <w:b/>
        </w:rPr>
        <w:t xml:space="preserve">via DCI Format 2-0 </w:t>
      </w:r>
      <w:r>
        <w:rPr>
          <w:rFonts w:ascii="Calibri" w:hAnsi="Calibri"/>
          <w:b/>
        </w:rPr>
        <w:t>from the parent IAB node to the child IAB node to</w:t>
      </w:r>
      <w:r w:rsidR="002B4932">
        <w:rPr>
          <w:rFonts w:ascii="Calibri" w:hAnsi="Calibri"/>
          <w:b/>
        </w:rPr>
        <w:t xml:space="preserve"> jointly</w:t>
      </w:r>
      <w:r>
        <w:rPr>
          <w:rFonts w:ascii="Calibri" w:hAnsi="Calibri"/>
          <w:b/>
        </w:rPr>
        <w:t xml:space="preserve"> indicate </w:t>
      </w:r>
      <w:r w:rsidR="002B4932" w:rsidRPr="002B4932">
        <w:rPr>
          <w:rFonts w:ascii="Calibri" w:hAnsi="Calibri"/>
          <w:b/>
        </w:rPr>
        <w:t>DU-IA and MT resource type (MT-D/MT-U/MT-F)</w:t>
      </w:r>
      <w:r w:rsidR="002B4932">
        <w:rPr>
          <w:rFonts w:ascii="Calibri" w:hAnsi="Calibri"/>
          <w:b/>
        </w:rPr>
        <w:t>.</w:t>
      </w:r>
    </w:p>
    <w:p w:rsidR="002007EE" w:rsidRDefault="002007EE" w:rsidP="0060432C">
      <w:pPr>
        <w:rPr>
          <w:b/>
          <w:highlight w:val="green"/>
        </w:rPr>
      </w:pPr>
    </w:p>
    <w:p w:rsidR="002007EE" w:rsidRPr="002007EE" w:rsidRDefault="002007EE" w:rsidP="0060432C">
      <w:pPr>
        <w:rPr>
          <w:b/>
          <w:highlight w:val="green"/>
        </w:rPr>
      </w:pPr>
      <w:r>
        <w:rPr>
          <w:rFonts w:ascii="Calibri" w:hAnsi="Calibri" w:cs="Arial"/>
        </w:rPr>
        <w:t>Finally, the following agreement was made in RAN1#96:</w:t>
      </w:r>
    </w:p>
    <w:p w:rsidR="0060432C" w:rsidRPr="00064E1D" w:rsidRDefault="0060432C" w:rsidP="0060432C">
      <w:r w:rsidRPr="00064E1D">
        <w:rPr>
          <w:highlight w:val="green"/>
        </w:rPr>
        <w:t>Agreements</w:t>
      </w:r>
      <w:r w:rsidRPr="00064E1D">
        <w:t>:</w:t>
      </w:r>
    </w:p>
    <w:p w:rsidR="0060432C" w:rsidRPr="00064E1D" w:rsidRDefault="0060432C" w:rsidP="0060432C">
      <w:pPr>
        <w:numPr>
          <w:ilvl w:val="0"/>
          <w:numId w:val="26"/>
        </w:numPr>
        <w:spacing w:before="0" w:after="0"/>
        <w:jc w:val="left"/>
      </w:pPr>
      <w:r w:rsidRPr="00064E1D">
        <w:t>Both slot and symbol-level multiplexing of access and backhaul links are supported.</w:t>
      </w:r>
    </w:p>
    <w:p w:rsidR="00766B7B" w:rsidRDefault="00766B7B" w:rsidP="00FB2665">
      <w:pPr>
        <w:pStyle w:val="maintext"/>
        <w:ind w:firstLineChars="0" w:firstLine="0"/>
      </w:pPr>
    </w:p>
    <w:p w:rsidR="002007EE" w:rsidRDefault="002007EE" w:rsidP="00FB2665">
      <w:pPr>
        <w:pStyle w:val="maintext"/>
        <w:ind w:firstLineChars="0" w:firstLine="0"/>
        <w:rPr>
          <w:rFonts w:ascii="Calibri" w:hAnsi="Calibri" w:cs="Arial"/>
        </w:rPr>
      </w:pPr>
      <w:r>
        <w:rPr>
          <w:rFonts w:ascii="Calibri" w:hAnsi="Calibri" w:cs="Arial"/>
        </w:rPr>
        <w:t xml:space="preserve">In order to support the full flexibility of the utilization of soft resources at a child IAB-node DU in case of symbol-level multiplexing of access and backhaul links, the dynamic explicit indication should be able to be sent on any symbol within a slot, and not just the first few symbols of the slot. </w:t>
      </w:r>
    </w:p>
    <w:p w:rsidR="002007EE" w:rsidRPr="002007EE" w:rsidRDefault="002007EE" w:rsidP="00FB2665">
      <w:pPr>
        <w:pStyle w:val="maintext"/>
        <w:ind w:firstLineChars="0" w:firstLine="0"/>
        <w:rPr>
          <w:rFonts w:ascii="Calibri" w:hAnsi="Calibri"/>
          <w:b/>
        </w:rPr>
      </w:pPr>
      <w:r w:rsidRPr="002007EE">
        <w:rPr>
          <w:rFonts w:ascii="Calibri" w:hAnsi="Calibri"/>
          <w:b/>
        </w:rPr>
        <w:t xml:space="preserve">Proposal </w:t>
      </w:r>
      <w:r w:rsidR="002B4932">
        <w:rPr>
          <w:rFonts w:ascii="Calibri" w:hAnsi="Calibri"/>
          <w:b/>
        </w:rPr>
        <w:t>5</w:t>
      </w:r>
      <w:r w:rsidRPr="002007EE">
        <w:rPr>
          <w:rFonts w:ascii="Calibri" w:hAnsi="Calibri"/>
          <w:b/>
        </w:rPr>
        <w:t>: The explicit indication of soft resource availability can be sent on any symbol within a slot.</w:t>
      </w:r>
    </w:p>
    <w:p w:rsidR="002007EE" w:rsidRPr="002007EE" w:rsidRDefault="002007EE" w:rsidP="00FB2665">
      <w:pPr>
        <w:pStyle w:val="maintext"/>
        <w:ind w:firstLineChars="0" w:firstLine="0"/>
        <w:rPr>
          <w:b/>
        </w:rPr>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36905">
        <w:rPr>
          <w:rFonts w:ascii="Calibri" w:hAnsi="Calibri"/>
        </w:rPr>
        <w:t>mechani</w:t>
      </w:r>
      <w:r w:rsidR="00C724F1">
        <w:rPr>
          <w:rFonts w:ascii="Calibri" w:hAnsi="Calibri"/>
        </w:rPr>
        <w:t>s</w:t>
      </w:r>
      <w:r w:rsidR="00C36905">
        <w:rPr>
          <w:rFonts w:ascii="Calibri" w:hAnsi="Calibri"/>
        </w:rPr>
        <w:t>ms</w:t>
      </w:r>
      <w:r w:rsidR="00DD3971">
        <w:rPr>
          <w:rFonts w:ascii="Calibri" w:hAnsi="Calibri"/>
        </w:rPr>
        <w:t xml:space="preserve"> for</w:t>
      </w:r>
      <w:r w:rsidR="003A553B">
        <w:rPr>
          <w:rFonts w:ascii="Calibri" w:hAnsi="Calibri"/>
        </w:rPr>
        <w:t xml:space="preserve"> </w:t>
      </w:r>
      <w:r w:rsidR="00C724F1">
        <w:rPr>
          <w:rFonts w:ascii="Calibri" w:hAnsi="Calibri"/>
        </w:rPr>
        <w:t>IAB</w:t>
      </w:r>
      <w:r w:rsidR="00C36905">
        <w:rPr>
          <w:rFonts w:ascii="Calibri" w:hAnsi="Calibri"/>
        </w:rPr>
        <w:t xml:space="preserve"> link multiplexing</w:t>
      </w:r>
      <w:r w:rsidR="00E604D6">
        <w:rPr>
          <w:rFonts w:ascii="Calibri" w:hAnsi="Calibri"/>
        </w:rPr>
        <w:t>. The following proposals were made</w:t>
      </w:r>
      <w:r>
        <w:rPr>
          <w:rFonts w:ascii="Calibri" w:hAnsi="Calibri"/>
        </w:rPr>
        <w:t>:</w:t>
      </w:r>
    </w:p>
    <w:p w:rsidR="009147F1" w:rsidRDefault="009147F1" w:rsidP="009147F1">
      <w:pPr>
        <w:pStyle w:val="maintext"/>
        <w:ind w:firstLineChars="0" w:firstLine="0"/>
        <w:rPr>
          <w:rFonts w:ascii="Calibri" w:hAnsi="Calibri"/>
          <w:b/>
        </w:rPr>
      </w:pPr>
      <w:r w:rsidRPr="00057E9B">
        <w:rPr>
          <w:rFonts w:ascii="Calibri" w:hAnsi="Calibri"/>
          <w:b/>
        </w:rPr>
        <w:t xml:space="preserve">Proposal </w:t>
      </w:r>
      <w:r>
        <w:rPr>
          <w:rFonts w:ascii="Calibri" w:hAnsi="Calibri"/>
          <w:b/>
        </w:rPr>
        <w:t>1</w:t>
      </w:r>
      <w:r w:rsidRPr="00057E9B">
        <w:rPr>
          <w:rFonts w:ascii="Calibri" w:hAnsi="Calibri"/>
          <w:b/>
        </w:rPr>
        <w:t xml:space="preserve">: </w:t>
      </w:r>
      <w:r>
        <w:rPr>
          <w:rFonts w:ascii="Calibri" w:hAnsi="Calibri"/>
          <w:b/>
        </w:rPr>
        <w:t>The following new slot formats should be defined for use by IAB-nodes (DUs and MTs) in the semi-static F1-AP and RRC configurations, and as part the SFI in DCI Format 2_0:</w:t>
      </w:r>
    </w:p>
    <w:p w:rsidR="00C36905" w:rsidRDefault="00C36905" w:rsidP="00C36905">
      <w:pPr>
        <w:pStyle w:val="maintext"/>
        <w:ind w:firstLineChars="0" w:firstLine="0"/>
        <w:rPr>
          <w:rFonts w:ascii="Calibri" w:hAnsi="Calibri"/>
          <w:b/>
        </w:rPr>
      </w:pPr>
      <w:bookmarkStart w:id="3" w:name="_GoBack"/>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71"/>
        <w:gridCol w:w="571"/>
        <w:gridCol w:w="569"/>
        <w:gridCol w:w="569"/>
        <w:gridCol w:w="569"/>
        <w:gridCol w:w="569"/>
        <w:gridCol w:w="569"/>
        <w:gridCol w:w="569"/>
        <w:gridCol w:w="569"/>
        <w:gridCol w:w="569"/>
        <w:gridCol w:w="569"/>
        <w:gridCol w:w="569"/>
        <w:gridCol w:w="569"/>
      </w:tblGrid>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lastRenderedPageBreak/>
              <w:t>F</w:t>
            </w:r>
          </w:p>
        </w:tc>
        <w:tc>
          <w:tcPr>
            <w:tcW w:w="571"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rPr>
                <w:sz w:val="18"/>
              </w:rPr>
            </w:pPr>
            <w:r>
              <w:rPr>
                <w:sz w:val="18"/>
              </w:rPr>
              <w:t xml:space="preserve">  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rPr>
                <w:sz w:val="18"/>
              </w:rPr>
            </w:pPr>
            <w:r>
              <w:rPr>
                <w:sz w:val="18"/>
              </w:rPr>
              <w:t xml:space="preserve">  F</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F</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rPr>
                <w:sz w:val="18"/>
              </w:rPr>
            </w:pPr>
            <w:r>
              <w:rPr>
                <w:sz w:val="18"/>
              </w:rPr>
              <w:t xml:space="preserve">  D</w:t>
            </w:r>
          </w:p>
        </w:tc>
        <w:tc>
          <w:tcPr>
            <w:tcW w:w="569" w:type="dxa"/>
            <w:tcBorders>
              <w:top w:val="single" w:sz="4" w:space="0" w:color="auto"/>
              <w:left w:val="single" w:sz="4" w:space="0" w:color="auto"/>
              <w:bottom w:val="single" w:sz="4" w:space="0" w:color="auto"/>
              <w:right w:val="single" w:sz="4" w:space="0" w:color="auto"/>
            </w:tcBorders>
            <w:hideMark/>
          </w:tcPr>
          <w:p w:rsidR="00C36905" w:rsidRDefault="00C36905" w:rsidP="00FC5269">
            <w:pPr>
              <w:keepNext/>
              <w:keepLines/>
              <w:jc w:val="center"/>
              <w:rPr>
                <w:sz w:val="18"/>
              </w:rPr>
            </w:pPr>
            <w:r>
              <w:rPr>
                <w:sz w:val="18"/>
              </w:rPr>
              <w:t>D</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r w:rsidR="00C36905" w:rsidTr="00FC5269">
        <w:trPr>
          <w:jc w:val="center"/>
        </w:trPr>
        <w:tc>
          <w:tcPr>
            <w:tcW w:w="713"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rsidR="00C36905" w:rsidRDefault="00C36905" w:rsidP="00FC5269">
            <w:pPr>
              <w:keepNext/>
              <w:keepLines/>
              <w:jc w:val="center"/>
              <w:rPr>
                <w:sz w:val="18"/>
              </w:rPr>
            </w:pPr>
            <w:r>
              <w:rPr>
                <w:sz w:val="18"/>
              </w:rPr>
              <w:t>U</w:t>
            </w:r>
          </w:p>
        </w:tc>
      </w:tr>
    </w:tbl>
    <w:p w:rsidR="00FC5269" w:rsidRDefault="00FC5269" w:rsidP="00FC5269">
      <w:pPr>
        <w:pStyle w:val="maintext"/>
        <w:ind w:firstLineChars="0" w:firstLine="0"/>
        <w:rPr>
          <w:rFonts w:ascii="Calibri" w:hAnsi="Calibri"/>
          <w:b/>
        </w:rPr>
      </w:pPr>
    </w:p>
    <w:p w:rsidR="00FC5269" w:rsidRPr="00766B7B" w:rsidRDefault="00FC5269" w:rsidP="00FC5269">
      <w:pPr>
        <w:pStyle w:val="maintext"/>
        <w:ind w:firstLineChars="0" w:firstLine="0"/>
        <w:rPr>
          <w:rFonts w:ascii="Calibri" w:hAnsi="Calibri"/>
          <w:b/>
        </w:rPr>
      </w:pPr>
      <w:r w:rsidRPr="00057E9B">
        <w:rPr>
          <w:rFonts w:ascii="Calibri" w:hAnsi="Calibri"/>
          <w:b/>
        </w:rPr>
        <w:t xml:space="preserve">Proposal </w:t>
      </w:r>
      <w:r>
        <w:rPr>
          <w:rFonts w:ascii="Calibri" w:hAnsi="Calibri"/>
          <w:b/>
        </w:rPr>
        <w:t>2</w:t>
      </w:r>
      <w:r w:rsidRPr="00057E9B">
        <w:rPr>
          <w:rFonts w:ascii="Calibri" w:hAnsi="Calibri"/>
          <w:b/>
        </w:rPr>
        <w:t xml:space="preserve">: </w:t>
      </w:r>
      <w:r>
        <w:rPr>
          <w:rFonts w:ascii="Calibri" w:hAnsi="Calibri"/>
          <w:b/>
        </w:rPr>
        <w:t>H/S/NA is additionally explicitly indicated per resource type (D/U/F) in each slot.</w:t>
      </w:r>
    </w:p>
    <w:p w:rsidR="00FC5269" w:rsidRPr="00FC5269" w:rsidRDefault="00FC5269" w:rsidP="00FC5269">
      <w:pPr>
        <w:rPr>
          <w:rFonts w:ascii="Calibri" w:eastAsia="Malgun Gothic" w:hAnsi="Calibri" w:cs="Batang"/>
          <w:b/>
          <w:lang w:val="en-GB" w:eastAsia="ko-KR"/>
        </w:rPr>
      </w:pPr>
      <w:r w:rsidRPr="00FC5269">
        <w:rPr>
          <w:rFonts w:ascii="Calibri" w:hAnsi="Calibri"/>
          <w:b/>
        </w:rPr>
        <w:t xml:space="preserve">Proposal 3: </w:t>
      </w:r>
      <w:r w:rsidRPr="00FC5269">
        <w:rPr>
          <w:rFonts w:ascii="Calibri" w:eastAsia="Malgun Gothic" w:hAnsi="Calibri" w:cs="Batang"/>
          <w:b/>
          <w:lang w:val="en-GB" w:eastAsia="ko-KR"/>
        </w:rPr>
        <w:t>H/S/NA is applied relative to the MT resource configuration (D/U/F) slot timing.</w:t>
      </w:r>
    </w:p>
    <w:p w:rsidR="002B4932" w:rsidRDefault="002B4932" w:rsidP="002B4932">
      <w:pPr>
        <w:pStyle w:val="maintext"/>
        <w:ind w:firstLineChars="0" w:firstLine="0"/>
      </w:pPr>
      <w:r w:rsidRPr="00057E9B">
        <w:rPr>
          <w:rFonts w:ascii="Calibri" w:hAnsi="Calibri"/>
          <w:b/>
        </w:rPr>
        <w:t xml:space="preserve">Proposal </w:t>
      </w:r>
      <w:r>
        <w:rPr>
          <w:rFonts w:ascii="Calibri" w:hAnsi="Calibri"/>
          <w:b/>
        </w:rPr>
        <w:t>4</w:t>
      </w:r>
      <w:r w:rsidRPr="00057E9B">
        <w:rPr>
          <w:rFonts w:ascii="Calibri" w:hAnsi="Calibri"/>
          <w:b/>
        </w:rPr>
        <w:t xml:space="preserve">: </w:t>
      </w:r>
      <w:r>
        <w:rPr>
          <w:rFonts w:ascii="Calibri" w:hAnsi="Calibri"/>
          <w:b/>
        </w:rPr>
        <w:t xml:space="preserve">IAB should support explicit indication of soft resource availability by using GC-PDCCH signalling via DCI Format 2-0 from the parent IAB node to the child IAB node to jointly indicate </w:t>
      </w:r>
      <w:r w:rsidRPr="002B4932">
        <w:rPr>
          <w:rFonts w:ascii="Calibri" w:hAnsi="Calibri"/>
          <w:b/>
        </w:rPr>
        <w:t>DU-IA and MT resource type (MT-D/MT-U/MT-F)</w:t>
      </w:r>
      <w:r>
        <w:rPr>
          <w:rFonts w:ascii="Calibri" w:hAnsi="Calibri"/>
          <w:b/>
        </w:rPr>
        <w:t>.</w:t>
      </w:r>
    </w:p>
    <w:p w:rsidR="002B4932" w:rsidRPr="002007EE" w:rsidRDefault="002B4932" w:rsidP="002B4932">
      <w:pPr>
        <w:pStyle w:val="maintext"/>
        <w:ind w:firstLineChars="0" w:firstLine="0"/>
        <w:rPr>
          <w:rFonts w:ascii="Calibri" w:hAnsi="Calibri"/>
          <w:b/>
        </w:rPr>
      </w:pPr>
      <w:r w:rsidRPr="002007EE">
        <w:rPr>
          <w:rFonts w:ascii="Calibri" w:hAnsi="Calibri"/>
          <w:b/>
        </w:rPr>
        <w:t xml:space="preserve">Proposal </w:t>
      </w:r>
      <w:r>
        <w:rPr>
          <w:rFonts w:ascii="Calibri" w:hAnsi="Calibri"/>
          <w:b/>
        </w:rPr>
        <w:t>5</w:t>
      </w:r>
      <w:r w:rsidRPr="002007EE">
        <w:rPr>
          <w:rFonts w:ascii="Calibri" w:hAnsi="Calibri"/>
          <w:b/>
        </w:rPr>
        <w:t>: The explicit indication of soft resource availability can be sent on any symbol within a slot.</w:t>
      </w:r>
    </w:p>
    <w:p w:rsidR="002007EE" w:rsidRDefault="002007EE" w:rsidP="008A00F0">
      <w:pPr>
        <w:pStyle w:val="maintext"/>
        <w:ind w:firstLineChars="0" w:firstLine="0"/>
      </w:pPr>
    </w:p>
    <w:p w:rsidR="00FE6C15" w:rsidRPr="0076067D" w:rsidRDefault="00FE6C15" w:rsidP="0076067D">
      <w:pPr>
        <w:pStyle w:val="Heading1"/>
      </w:pPr>
      <w:r>
        <w:t>Reference</w:t>
      </w:r>
    </w:p>
    <w:p w:rsidR="008F676A" w:rsidRDefault="008F676A" w:rsidP="008F676A">
      <w:pPr>
        <w:pStyle w:val="2222"/>
        <w:spacing w:after="120" w:line="288" w:lineRule="auto"/>
        <w:ind w:firstLineChars="0" w:firstLine="0"/>
        <w:jc w:val="left"/>
        <w:rPr>
          <w:rFonts w:cs="Times New Roman"/>
          <w:lang w:eastAsia="ko-KR"/>
        </w:rPr>
      </w:pPr>
      <w:bookmarkStart w:id="4" w:name="_Hlk534835874"/>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p w:rsidR="008F676A" w:rsidRPr="00A54900" w:rsidRDefault="008F676A" w:rsidP="008F676A">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bookmarkEnd w:id="4"/>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1A8" w:rsidRDefault="00EA31A8" w:rsidP="00424124">
      <w:pPr>
        <w:spacing w:before="0" w:after="0"/>
      </w:pPr>
      <w:r>
        <w:separator/>
      </w:r>
    </w:p>
  </w:endnote>
  <w:endnote w:type="continuationSeparator" w:id="0">
    <w:p w:rsidR="00EA31A8" w:rsidRDefault="00EA31A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1A8" w:rsidRDefault="00EA31A8" w:rsidP="00424124">
      <w:pPr>
        <w:spacing w:before="0" w:after="0"/>
      </w:pPr>
      <w:r>
        <w:separator/>
      </w:r>
    </w:p>
  </w:footnote>
  <w:footnote w:type="continuationSeparator" w:id="0">
    <w:p w:rsidR="00EA31A8" w:rsidRDefault="00EA31A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463913"/>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412606"/>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96EE0"/>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C1B02"/>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7"/>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5"/>
  </w:num>
  <w:num w:numId="8">
    <w:abstractNumId w:val="15"/>
  </w:num>
  <w:num w:numId="9">
    <w:abstractNumId w:val="2"/>
  </w:num>
  <w:num w:numId="10">
    <w:abstractNumId w:val="3"/>
  </w:num>
  <w:num w:numId="11">
    <w:abstractNumId w:val="18"/>
  </w:num>
  <w:num w:numId="12">
    <w:abstractNumId w:val="9"/>
  </w:num>
  <w:num w:numId="13">
    <w:abstractNumId w:val="10"/>
  </w:num>
  <w:num w:numId="14">
    <w:abstractNumId w:val="26"/>
  </w:num>
  <w:num w:numId="15">
    <w:abstractNumId w:val="1"/>
  </w:num>
  <w:num w:numId="16">
    <w:abstractNumId w:val="24"/>
  </w:num>
  <w:num w:numId="17">
    <w:abstractNumId w:val="16"/>
  </w:num>
  <w:num w:numId="18">
    <w:abstractNumId w:val="11"/>
  </w:num>
  <w:num w:numId="19">
    <w:abstractNumId w:val="25"/>
  </w:num>
  <w:num w:numId="20">
    <w:abstractNumId w:val="14"/>
  </w:num>
  <w:num w:numId="21">
    <w:abstractNumId w:val="7"/>
  </w:num>
  <w:num w:numId="22">
    <w:abstractNumId w:val="8"/>
  </w:num>
  <w:num w:numId="23">
    <w:abstractNumId w:val="20"/>
  </w:num>
  <w:num w:numId="24">
    <w:abstractNumId w:val="19"/>
  </w:num>
  <w:num w:numId="25">
    <w:abstractNumId w:val="23"/>
  </w:num>
  <w:num w:numId="26">
    <w:abstractNumId w:val="13"/>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1AB6"/>
    <w:rsid w:val="00032D47"/>
    <w:rsid w:val="000337FC"/>
    <w:rsid w:val="000440EF"/>
    <w:rsid w:val="000455B3"/>
    <w:rsid w:val="000463E4"/>
    <w:rsid w:val="00051B4B"/>
    <w:rsid w:val="00051EBB"/>
    <w:rsid w:val="0005289E"/>
    <w:rsid w:val="000550BC"/>
    <w:rsid w:val="00057E9B"/>
    <w:rsid w:val="000643C2"/>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9D8"/>
    <w:rsid w:val="000F259D"/>
    <w:rsid w:val="0010303E"/>
    <w:rsid w:val="0011327D"/>
    <w:rsid w:val="00116DA6"/>
    <w:rsid w:val="001279BC"/>
    <w:rsid w:val="00127B93"/>
    <w:rsid w:val="00137E15"/>
    <w:rsid w:val="001417A8"/>
    <w:rsid w:val="0015279F"/>
    <w:rsid w:val="00153793"/>
    <w:rsid w:val="00155BC2"/>
    <w:rsid w:val="00161629"/>
    <w:rsid w:val="00163AD0"/>
    <w:rsid w:val="00172743"/>
    <w:rsid w:val="00175301"/>
    <w:rsid w:val="001A5A68"/>
    <w:rsid w:val="001A6212"/>
    <w:rsid w:val="001A75E0"/>
    <w:rsid w:val="001B731B"/>
    <w:rsid w:val="001C4ACE"/>
    <w:rsid w:val="001C699C"/>
    <w:rsid w:val="001E02F3"/>
    <w:rsid w:val="001E0CE1"/>
    <w:rsid w:val="001E58CC"/>
    <w:rsid w:val="001E602E"/>
    <w:rsid w:val="001F02DD"/>
    <w:rsid w:val="001F2A01"/>
    <w:rsid w:val="001F59ED"/>
    <w:rsid w:val="002007EE"/>
    <w:rsid w:val="002013B3"/>
    <w:rsid w:val="00201870"/>
    <w:rsid w:val="00211D37"/>
    <w:rsid w:val="00212204"/>
    <w:rsid w:val="0021262A"/>
    <w:rsid w:val="00216763"/>
    <w:rsid w:val="00222269"/>
    <w:rsid w:val="00222811"/>
    <w:rsid w:val="00225464"/>
    <w:rsid w:val="00233D70"/>
    <w:rsid w:val="00235373"/>
    <w:rsid w:val="00242080"/>
    <w:rsid w:val="002427E5"/>
    <w:rsid w:val="00246D61"/>
    <w:rsid w:val="0024786A"/>
    <w:rsid w:val="0025058B"/>
    <w:rsid w:val="002528A7"/>
    <w:rsid w:val="00262116"/>
    <w:rsid w:val="002641FE"/>
    <w:rsid w:val="00265254"/>
    <w:rsid w:val="00267362"/>
    <w:rsid w:val="002725E8"/>
    <w:rsid w:val="00272EC2"/>
    <w:rsid w:val="00273B2A"/>
    <w:rsid w:val="00274677"/>
    <w:rsid w:val="00276785"/>
    <w:rsid w:val="00277973"/>
    <w:rsid w:val="00287D4D"/>
    <w:rsid w:val="00287D80"/>
    <w:rsid w:val="0029112F"/>
    <w:rsid w:val="0029147A"/>
    <w:rsid w:val="002914D5"/>
    <w:rsid w:val="00297225"/>
    <w:rsid w:val="002A005E"/>
    <w:rsid w:val="002A0270"/>
    <w:rsid w:val="002A66E2"/>
    <w:rsid w:val="002B4932"/>
    <w:rsid w:val="002B6E52"/>
    <w:rsid w:val="002C0488"/>
    <w:rsid w:val="002C4097"/>
    <w:rsid w:val="002C594E"/>
    <w:rsid w:val="002D3D42"/>
    <w:rsid w:val="002D479B"/>
    <w:rsid w:val="002D5698"/>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0BBB"/>
    <w:rsid w:val="00385177"/>
    <w:rsid w:val="00386642"/>
    <w:rsid w:val="00392176"/>
    <w:rsid w:val="003921D6"/>
    <w:rsid w:val="003A0594"/>
    <w:rsid w:val="003A298A"/>
    <w:rsid w:val="003A553B"/>
    <w:rsid w:val="003A566A"/>
    <w:rsid w:val="003B1EC9"/>
    <w:rsid w:val="003B5456"/>
    <w:rsid w:val="003C2392"/>
    <w:rsid w:val="003C2E75"/>
    <w:rsid w:val="003E1304"/>
    <w:rsid w:val="003E2741"/>
    <w:rsid w:val="003E306F"/>
    <w:rsid w:val="003E35D4"/>
    <w:rsid w:val="003E7121"/>
    <w:rsid w:val="003F0731"/>
    <w:rsid w:val="003F33B4"/>
    <w:rsid w:val="004011AC"/>
    <w:rsid w:val="00405F6D"/>
    <w:rsid w:val="00407F18"/>
    <w:rsid w:val="00424124"/>
    <w:rsid w:val="00434212"/>
    <w:rsid w:val="00440F6E"/>
    <w:rsid w:val="00443645"/>
    <w:rsid w:val="00443CD6"/>
    <w:rsid w:val="00454EE3"/>
    <w:rsid w:val="004552C9"/>
    <w:rsid w:val="004607AC"/>
    <w:rsid w:val="0046127E"/>
    <w:rsid w:val="00466E46"/>
    <w:rsid w:val="004678E1"/>
    <w:rsid w:val="004709B7"/>
    <w:rsid w:val="00473281"/>
    <w:rsid w:val="00473B68"/>
    <w:rsid w:val="0048301B"/>
    <w:rsid w:val="004A5ABE"/>
    <w:rsid w:val="004A6424"/>
    <w:rsid w:val="004A69D0"/>
    <w:rsid w:val="004A6A82"/>
    <w:rsid w:val="004A72C2"/>
    <w:rsid w:val="004B6AA8"/>
    <w:rsid w:val="004B6E00"/>
    <w:rsid w:val="004B7BD3"/>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1EE"/>
    <w:rsid w:val="00512838"/>
    <w:rsid w:val="0051424F"/>
    <w:rsid w:val="00523623"/>
    <w:rsid w:val="005300F0"/>
    <w:rsid w:val="005363F5"/>
    <w:rsid w:val="00541819"/>
    <w:rsid w:val="0054560C"/>
    <w:rsid w:val="00545FD3"/>
    <w:rsid w:val="00551C99"/>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432C"/>
    <w:rsid w:val="0060603E"/>
    <w:rsid w:val="00624678"/>
    <w:rsid w:val="00632789"/>
    <w:rsid w:val="00633934"/>
    <w:rsid w:val="00634707"/>
    <w:rsid w:val="00636F9E"/>
    <w:rsid w:val="006439F2"/>
    <w:rsid w:val="00644034"/>
    <w:rsid w:val="006477B7"/>
    <w:rsid w:val="00652AC8"/>
    <w:rsid w:val="0065437E"/>
    <w:rsid w:val="0066157D"/>
    <w:rsid w:val="006703A8"/>
    <w:rsid w:val="0067125A"/>
    <w:rsid w:val="00671E30"/>
    <w:rsid w:val="006726B2"/>
    <w:rsid w:val="006756FB"/>
    <w:rsid w:val="00677BD0"/>
    <w:rsid w:val="00685B82"/>
    <w:rsid w:val="00685E11"/>
    <w:rsid w:val="0069705B"/>
    <w:rsid w:val="006A0EDC"/>
    <w:rsid w:val="006A18DB"/>
    <w:rsid w:val="006A2D2E"/>
    <w:rsid w:val="006C0BAC"/>
    <w:rsid w:val="006C452E"/>
    <w:rsid w:val="006C7692"/>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093E"/>
    <w:rsid w:val="007316AF"/>
    <w:rsid w:val="007338D6"/>
    <w:rsid w:val="00740B36"/>
    <w:rsid w:val="00745452"/>
    <w:rsid w:val="00747A6F"/>
    <w:rsid w:val="0075622F"/>
    <w:rsid w:val="0076067D"/>
    <w:rsid w:val="007639B9"/>
    <w:rsid w:val="00766B7B"/>
    <w:rsid w:val="00782CDC"/>
    <w:rsid w:val="007839F9"/>
    <w:rsid w:val="00784132"/>
    <w:rsid w:val="00786229"/>
    <w:rsid w:val="0078708D"/>
    <w:rsid w:val="00787145"/>
    <w:rsid w:val="00791D57"/>
    <w:rsid w:val="007A2765"/>
    <w:rsid w:val="007B13E5"/>
    <w:rsid w:val="007B2F6B"/>
    <w:rsid w:val="007B473A"/>
    <w:rsid w:val="007C350F"/>
    <w:rsid w:val="007C4B85"/>
    <w:rsid w:val="007D0BB2"/>
    <w:rsid w:val="007D2C48"/>
    <w:rsid w:val="007D498E"/>
    <w:rsid w:val="007E1060"/>
    <w:rsid w:val="007E546F"/>
    <w:rsid w:val="007F0AF3"/>
    <w:rsid w:val="007F1928"/>
    <w:rsid w:val="007F392E"/>
    <w:rsid w:val="00811A1B"/>
    <w:rsid w:val="00814815"/>
    <w:rsid w:val="00815023"/>
    <w:rsid w:val="00824DED"/>
    <w:rsid w:val="00826E5A"/>
    <w:rsid w:val="0083713D"/>
    <w:rsid w:val="008403AA"/>
    <w:rsid w:val="008437B2"/>
    <w:rsid w:val="00843F1C"/>
    <w:rsid w:val="00850DCE"/>
    <w:rsid w:val="00853591"/>
    <w:rsid w:val="00854FBB"/>
    <w:rsid w:val="008563DB"/>
    <w:rsid w:val="0086373E"/>
    <w:rsid w:val="008661BA"/>
    <w:rsid w:val="008671A6"/>
    <w:rsid w:val="00871024"/>
    <w:rsid w:val="0087144B"/>
    <w:rsid w:val="00871CA8"/>
    <w:rsid w:val="00872D80"/>
    <w:rsid w:val="00872E80"/>
    <w:rsid w:val="008747AA"/>
    <w:rsid w:val="008810D4"/>
    <w:rsid w:val="00885004"/>
    <w:rsid w:val="00886940"/>
    <w:rsid w:val="00886B7B"/>
    <w:rsid w:val="00887AB4"/>
    <w:rsid w:val="00894290"/>
    <w:rsid w:val="008A00F0"/>
    <w:rsid w:val="008A25A1"/>
    <w:rsid w:val="008B39B6"/>
    <w:rsid w:val="008C1AFD"/>
    <w:rsid w:val="008C4B67"/>
    <w:rsid w:val="008D1AEF"/>
    <w:rsid w:val="008E48C2"/>
    <w:rsid w:val="008F0D8C"/>
    <w:rsid w:val="008F2160"/>
    <w:rsid w:val="008F676A"/>
    <w:rsid w:val="00901B67"/>
    <w:rsid w:val="00905E86"/>
    <w:rsid w:val="009124E4"/>
    <w:rsid w:val="00914163"/>
    <w:rsid w:val="009147F1"/>
    <w:rsid w:val="00917D0F"/>
    <w:rsid w:val="00924EA9"/>
    <w:rsid w:val="00925FA2"/>
    <w:rsid w:val="00926A9C"/>
    <w:rsid w:val="00927803"/>
    <w:rsid w:val="00940101"/>
    <w:rsid w:val="00940DAB"/>
    <w:rsid w:val="009453B3"/>
    <w:rsid w:val="009550DA"/>
    <w:rsid w:val="00957CD1"/>
    <w:rsid w:val="00961DB2"/>
    <w:rsid w:val="0097292F"/>
    <w:rsid w:val="009741D9"/>
    <w:rsid w:val="00974C06"/>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13160"/>
    <w:rsid w:val="00A21D13"/>
    <w:rsid w:val="00A22671"/>
    <w:rsid w:val="00A22C61"/>
    <w:rsid w:val="00A2531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95601"/>
    <w:rsid w:val="00AA5160"/>
    <w:rsid w:val="00AA5899"/>
    <w:rsid w:val="00AB0589"/>
    <w:rsid w:val="00AB75A3"/>
    <w:rsid w:val="00AB7FC6"/>
    <w:rsid w:val="00AC05AE"/>
    <w:rsid w:val="00AD115D"/>
    <w:rsid w:val="00AD16AE"/>
    <w:rsid w:val="00AD6C53"/>
    <w:rsid w:val="00AD70C0"/>
    <w:rsid w:val="00AE54EF"/>
    <w:rsid w:val="00AE72F4"/>
    <w:rsid w:val="00AF0A4B"/>
    <w:rsid w:val="00AF4BBC"/>
    <w:rsid w:val="00AF65DE"/>
    <w:rsid w:val="00B04278"/>
    <w:rsid w:val="00B12672"/>
    <w:rsid w:val="00B2434D"/>
    <w:rsid w:val="00B24D29"/>
    <w:rsid w:val="00B32216"/>
    <w:rsid w:val="00B34716"/>
    <w:rsid w:val="00B3707E"/>
    <w:rsid w:val="00B55FA2"/>
    <w:rsid w:val="00B61A13"/>
    <w:rsid w:val="00B6232D"/>
    <w:rsid w:val="00B648CA"/>
    <w:rsid w:val="00B64C5B"/>
    <w:rsid w:val="00B66646"/>
    <w:rsid w:val="00B74894"/>
    <w:rsid w:val="00B749FB"/>
    <w:rsid w:val="00B75FF7"/>
    <w:rsid w:val="00B82B83"/>
    <w:rsid w:val="00B909F7"/>
    <w:rsid w:val="00B96A24"/>
    <w:rsid w:val="00BA315C"/>
    <w:rsid w:val="00BA677D"/>
    <w:rsid w:val="00BA6FDB"/>
    <w:rsid w:val="00BB02ED"/>
    <w:rsid w:val="00BB3CBF"/>
    <w:rsid w:val="00BB5132"/>
    <w:rsid w:val="00BC31F9"/>
    <w:rsid w:val="00BC6F83"/>
    <w:rsid w:val="00BC704C"/>
    <w:rsid w:val="00BD15E1"/>
    <w:rsid w:val="00BD34B4"/>
    <w:rsid w:val="00BE26B4"/>
    <w:rsid w:val="00BF2C5D"/>
    <w:rsid w:val="00BF31E3"/>
    <w:rsid w:val="00BF3936"/>
    <w:rsid w:val="00BF5F1C"/>
    <w:rsid w:val="00C07731"/>
    <w:rsid w:val="00C17E83"/>
    <w:rsid w:val="00C218A9"/>
    <w:rsid w:val="00C261F4"/>
    <w:rsid w:val="00C36905"/>
    <w:rsid w:val="00C40BE6"/>
    <w:rsid w:val="00C47EE0"/>
    <w:rsid w:val="00C534CA"/>
    <w:rsid w:val="00C63006"/>
    <w:rsid w:val="00C67568"/>
    <w:rsid w:val="00C7007B"/>
    <w:rsid w:val="00C71871"/>
    <w:rsid w:val="00C724F1"/>
    <w:rsid w:val="00C735F1"/>
    <w:rsid w:val="00C74682"/>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37270"/>
    <w:rsid w:val="00D446F1"/>
    <w:rsid w:val="00D456D8"/>
    <w:rsid w:val="00D45A0E"/>
    <w:rsid w:val="00D4645D"/>
    <w:rsid w:val="00D4758C"/>
    <w:rsid w:val="00D50169"/>
    <w:rsid w:val="00D5391C"/>
    <w:rsid w:val="00D55FAB"/>
    <w:rsid w:val="00D56786"/>
    <w:rsid w:val="00D61EAB"/>
    <w:rsid w:val="00D701D3"/>
    <w:rsid w:val="00D70E8C"/>
    <w:rsid w:val="00D724F9"/>
    <w:rsid w:val="00D7445F"/>
    <w:rsid w:val="00D77422"/>
    <w:rsid w:val="00D91E8D"/>
    <w:rsid w:val="00D92B1D"/>
    <w:rsid w:val="00DB0323"/>
    <w:rsid w:val="00DB1FA7"/>
    <w:rsid w:val="00DB3BFC"/>
    <w:rsid w:val="00DC0E31"/>
    <w:rsid w:val="00DC70D0"/>
    <w:rsid w:val="00DC7DD6"/>
    <w:rsid w:val="00DD2FB7"/>
    <w:rsid w:val="00DD3971"/>
    <w:rsid w:val="00DE2A3F"/>
    <w:rsid w:val="00DF5F45"/>
    <w:rsid w:val="00E03E65"/>
    <w:rsid w:val="00E13146"/>
    <w:rsid w:val="00E174FC"/>
    <w:rsid w:val="00E20070"/>
    <w:rsid w:val="00E20994"/>
    <w:rsid w:val="00E22124"/>
    <w:rsid w:val="00E261AD"/>
    <w:rsid w:val="00E324C0"/>
    <w:rsid w:val="00E40344"/>
    <w:rsid w:val="00E46D61"/>
    <w:rsid w:val="00E56C7E"/>
    <w:rsid w:val="00E576BD"/>
    <w:rsid w:val="00E57BE9"/>
    <w:rsid w:val="00E604D6"/>
    <w:rsid w:val="00E67086"/>
    <w:rsid w:val="00E857E4"/>
    <w:rsid w:val="00E85B05"/>
    <w:rsid w:val="00E9139D"/>
    <w:rsid w:val="00E92487"/>
    <w:rsid w:val="00EA26E5"/>
    <w:rsid w:val="00EA31A8"/>
    <w:rsid w:val="00EA3B02"/>
    <w:rsid w:val="00EA5A59"/>
    <w:rsid w:val="00EA6213"/>
    <w:rsid w:val="00EA7183"/>
    <w:rsid w:val="00EB0C39"/>
    <w:rsid w:val="00EB3301"/>
    <w:rsid w:val="00EC205E"/>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A0472"/>
    <w:rsid w:val="00FA28D1"/>
    <w:rsid w:val="00FA6558"/>
    <w:rsid w:val="00FB2665"/>
    <w:rsid w:val="00FC3DE0"/>
    <w:rsid w:val="00FC5269"/>
    <w:rsid w:val="00FC61FD"/>
    <w:rsid w:val="00FD2C8C"/>
    <w:rsid w:val="00FD489B"/>
    <w:rsid w:val="00FD530D"/>
    <w:rsid w:val="00FD6F1A"/>
    <w:rsid w:val="00FD791D"/>
    <w:rsid w:val="00FE0217"/>
    <w:rsid w:val="00FE4A8C"/>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2EAD4"/>
  <w15:chartTrackingRefBased/>
  <w15:docId w15:val="{1BB0CC9F-A3A6-4E77-95C5-571467F1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styleId="List2">
    <w:name w:val="List 2"/>
    <w:basedOn w:val="Normal"/>
    <w:uiPriority w:val="99"/>
    <w:semiHidden/>
    <w:unhideWhenUsed/>
    <w:rsid w:val="00424124"/>
    <w:pPr>
      <w:ind w:left="720" w:hanging="360"/>
      <w:contextualSpacing/>
    </w:p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778C8"/>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9112F"/>
    <w:rPr>
      <w:rFonts w:ascii="Arial" w:eastAsia="Times New Roman" w:hAnsi="Arial"/>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8403AA"/>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paragraph" w:styleId="List">
    <w:name w:val="List"/>
    <w:basedOn w:val="Normal"/>
    <w:uiPriority w:val="99"/>
    <w:semiHidden/>
    <w:unhideWhenUsed/>
    <w:rsid w:val="008403AA"/>
    <w:pPr>
      <w:ind w:left="360" w:hanging="360"/>
      <w:contextualSpacing/>
    </w:pPr>
  </w:style>
  <w:style w:type="character" w:customStyle="1" w:styleId="B1Char">
    <w:name w:val="B1 Char"/>
    <w:link w:val="B1"/>
    <w:rsid w:val="008403AA"/>
    <w:rPr>
      <w:rFonts w:ascii="Times New Roman" w:eastAsia="Times New Roman" w:hAnsi="Times New Roman"/>
      <w:lang w:val="x-none" w:eastAsia="x-none"/>
    </w:rPr>
  </w:style>
  <w:style w:type="paragraph" w:customStyle="1" w:styleId="Text">
    <w:name w:val="Text"/>
    <w:rsid w:val="00B66646"/>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character" w:customStyle="1" w:styleId="THChar">
    <w:name w:val="TH Char"/>
    <w:link w:val="TH"/>
    <w:qFormat/>
    <w:locked/>
    <w:rsid w:val="008A00F0"/>
    <w:rPr>
      <w:rFonts w:ascii="Arial" w:eastAsia="Times New Roman" w:hAnsi="Arial" w:cs="Arial"/>
      <w:b/>
      <w:lang w:val="en-GB" w:eastAsia="en-GB"/>
    </w:rPr>
  </w:style>
  <w:style w:type="paragraph" w:customStyle="1" w:styleId="TH">
    <w:name w:val="TH"/>
    <w:basedOn w:val="Normal"/>
    <w:link w:val="THChar"/>
    <w:qFormat/>
    <w:rsid w:val="008A00F0"/>
    <w:pPr>
      <w:keepNext/>
      <w:keepLines/>
      <w:overflowPunct w:val="0"/>
      <w:autoSpaceDE w:val="0"/>
      <w:autoSpaceDN w:val="0"/>
      <w:adjustRightInd w:val="0"/>
      <w:spacing w:after="180"/>
      <w:jc w:val="center"/>
    </w:pPr>
    <w:rPr>
      <w:rFonts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2500895">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45038425">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813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39440.045232F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5.png@01D3944D.5F473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EB27F-23BA-6745-AB9B-3913D4FE6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10</Pages>
  <Words>2805</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18763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Microsoft Office User</cp:lastModifiedBy>
  <cp:revision>5</cp:revision>
  <cp:lastPrinted>2018-09-28T20:14:00Z</cp:lastPrinted>
  <dcterms:created xsi:type="dcterms:W3CDTF">2019-08-16T04:49:00Z</dcterms:created>
  <dcterms:modified xsi:type="dcterms:W3CDTF">2019-08-16T23:08:00Z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